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widowControl/>
        <w:spacing w:beforeAutospacing="0" w:afterAutospacing="0"/>
        <w:jc w:val="center"/>
        <w:rPr>
          <w:rFonts w:hint="eastAsia" w:ascii="宋体" w:hAnsi="宋体" w:cs="宋体"/>
          <w:b/>
          <w:bCs/>
          <w:sz w:val="44"/>
          <w:szCs w:val="44"/>
          <w:lang w:val="en-US" w:eastAsia="zh-CN"/>
        </w:rPr>
      </w:pPr>
      <w:r>
        <w:rPr>
          <w:rFonts w:hint="eastAsia" w:ascii="宋体" w:hAnsi="宋体" w:cs="宋体"/>
          <w:b/>
          <w:bCs/>
          <w:sz w:val="44"/>
          <w:szCs w:val="44"/>
          <w:lang w:eastAsia="zh-CN"/>
        </w:rPr>
        <w:t>铁东区人力资源和社会保障局</w:t>
      </w:r>
      <w:r>
        <w:rPr>
          <w:rFonts w:hint="eastAsia" w:ascii="宋体" w:hAnsi="宋体" w:cs="宋体"/>
          <w:b/>
          <w:bCs/>
          <w:sz w:val="44"/>
          <w:szCs w:val="44"/>
          <w:lang w:val="en-US" w:eastAsia="zh-CN"/>
        </w:rPr>
        <w:t>2021年</w:t>
      </w:r>
    </w:p>
    <w:p>
      <w:pPr>
        <w:pStyle w:val="4"/>
        <w:widowControl/>
        <w:spacing w:beforeAutospacing="0" w:afterAutospacing="0"/>
        <w:jc w:val="center"/>
        <w:rPr>
          <w:rFonts w:hint="eastAsia" w:ascii="宋体" w:hAnsi="宋体" w:eastAsia="宋体" w:cs="宋体"/>
          <w:b/>
          <w:bCs/>
          <w:sz w:val="44"/>
          <w:szCs w:val="44"/>
        </w:rPr>
      </w:pPr>
      <w:r>
        <w:rPr>
          <w:rFonts w:hint="eastAsia" w:ascii="宋体" w:hAnsi="宋体" w:eastAsia="宋体" w:cs="宋体"/>
          <w:b/>
          <w:bCs/>
          <w:sz w:val="44"/>
          <w:szCs w:val="44"/>
        </w:rPr>
        <w:t>政府信息公开年度报告</w:t>
      </w:r>
    </w:p>
    <w:p>
      <w:pPr>
        <w:pStyle w:val="4"/>
        <w:widowControl/>
        <w:spacing w:beforeAutospacing="0" w:afterAutospacing="0"/>
        <w:jc w:val="left"/>
        <w:rPr>
          <w:rFonts w:hint="eastAsia" w:ascii="宋体" w:hAnsi="宋体" w:eastAsia="宋体" w:cs="宋体"/>
          <w:sz w:val="24"/>
          <w:szCs w:val="24"/>
        </w:rPr>
      </w:pPr>
    </w:p>
    <w:p>
      <w:pPr>
        <w:pStyle w:val="4"/>
        <w:widowControl/>
        <w:spacing w:beforeAutospacing="0" w:afterAutospacing="0"/>
        <w:jc w:val="left"/>
        <w:rPr>
          <w:rFonts w:hint="eastAsia" w:ascii="宋体" w:hAnsi="宋体" w:eastAsia="宋体" w:cs="宋体"/>
          <w:sz w:val="24"/>
          <w:szCs w:val="24"/>
        </w:rPr>
      </w:pPr>
    </w:p>
    <w:p>
      <w:pPr>
        <w:pStyle w:val="4"/>
        <w:widowControl/>
        <w:spacing w:beforeAutospacing="0" w:afterAutospacing="0"/>
        <w:jc w:val="left"/>
        <w:rPr>
          <w:rFonts w:hint="eastAsia" w:ascii="宋体" w:hAnsi="宋体" w:eastAsia="宋体" w:cs="宋体"/>
          <w:b w:val="0"/>
          <w:bCs/>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根据《中华人民共和国政府信息公开条例》规定，现公布</w:t>
      </w:r>
      <w:r>
        <w:rPr>
          <w:rFonts w:hint="eastAsia" w:ascii="宋体" w:hAnsi="宋体" w:cs="宋体"/>
          <w:sz w:val="24"/>
          <w:szCs w:val="24"/>
          <w:lang w:eastAsia="zh-CN"/>
        </w:rPr>
        <w:t>铁东区人力资源和社会保障局</w:t>
      </w:r>
      <w:r>
        <w:rPr>
          <w:rFonts w:hint="eastAsia" w:ascii="宋体" w:hAnsi="宋体" w:cs="宋体"/>
          <w:sz w:val="24"/>
          <w:szCs w:val="24"/>
          <w:lang w:val="en-US" w:eastAsia="zh-CN"/>
        </w:rPr>
        <w:t>2021年</w:t>
      </w:r>
      <w:r>
        <w:rPr>
          <w:rFonts w:hint="eastAsia" w:ascii="宋体" w:hAnsi="宋体" w:eastAsia="宋体" w:cs="宋体"/>
          <w:b w:val="0"/>
          <w:bCs/>
          <w:sz w:val="24"/>
          <w:szCs w:val="24"/>
        </w:rPr>
        <w:t>政府信息公开工作年度报告</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p>
    <w:p>
      <w:pPr>
        <w:ind w:firstLine="480" w:firstLineChars="200"/>
        <w:rPr>
          <w:rFonts w:hint="eastAsia" w:ascii="宋体" w:hAnsi="宋体" w:eastAsia="宋体" w:cs="宋体"/>
          <w:b w:val="0"/>
          <w:i w:val="0"/>
          <w:caps w:val="0"/>
          <w:color w:val="333333"/>
          <w:spacing w:val="0"/>
          <w:sz w:val="24"/>
          <w:szCs w:val="24"/>
          <w:shd w:val="clear" w:color="080000" w:fill="FEFEFE"/>
        </w:rPr>
      </w:pPr>
      <w:r>
        <w:rPr>
          <w:rFonts w:hint="eastAsia" w:ascii="宋体" w:hAnsi="宋体" w:eastAsia="宋体" w:cs="宋体"/>
          <w:b w:val="0"/>
          <w:i w:val="0"/>
          <w:caps w:val="0"/>
          <w:color w:val="333333"/>
          <w:spacing w:val="0"/>
          <w:sz w:val="24"/>
          <w:szCs w:val="24"/>
          <w:shd w:val="clear" w:color="080000" w:fill="FEFEFE"/>
        </w:rPr>
        <w:t>为了把政府信息公开工作向纵深推进，取得实实在在的效果，我局根据省、市、区政府下发的相关文件要求，结合我局实际，制定本部门年度政府信息工作计划并抓好落实。目前，我局政</w:t>
      </w:r>
      <w:r>
        <w:rPr>
          <w:rFonts w:hint="eastAsia" w:ascii="宋体" w:hAnsi="宋体" w:cs="宋体"/>
          <w:b w:val="0"/>
          <w:i w:val="0"/>
          <w:caps w:val="0"/>
          <w:color w:val="333333"/>
          <w:spacing w:val="0"/>
          <w:sz w:val="24"/>
          <w:szCs w:val="24"/>
          <w:shd w:val="clear" w:color="080000" w:fill="FEFEFE"/>
          <w:lang w:eastAsia="zh-CN"/>
        </w:rPr>
        <w:t>府</w:t>
      </w:r>
      <w:r>
        <w:rPr>
          <w:rFonts w:hint="eastAsia" w:ascii="宋体" w:hAnsi="宋体" w:eastAsia="宋体" w:cs="宋体"/>
          <w:b w:val="0"/>
          <w:i w:val="0"/>
          <w:caps w:val="0"/>
          <w:color w:val="333333"/>
          <w:spacing w:val="0"/>
          <w:sz w:val="24"/>
          <w:szCs w:val="24"/>
          <w:shd w:val="clear" w:color="080000" w:fill="FEFEFE"/>
        </w:rPr>
        <w:t>信息公开工作已经步入了制度化</w:t>
      </w:r>
      <w:r>
        <w:rPr>
          <w:rFonts w:hint="eastAsia" w:ascii="宋体" w:hAnsi="宋体" w:cs="宋体"/>
          <w:b w:val="0"/>
          <w:i w:val="0"/>
          <w:caps w:val="0"/>
          <w:color w:val="333333"/>
          <w:spacing w:val="0"/>
          <w:sz w:val="24"/>
          <w:szCs w:val="24"/>
          <w:shd w:val="clear" w:color="080000" w:fill="FEFEFE"/>
          <w:lang w:eastAsia="zh-CN"/>
        </w:rPr>
        <w:t>、</w:t>
      </w:r>
      <w:r>
        <w:rPr>
          <w:rFonts w:hint="eastAsia" w:ascii="宋体" w:hAnsi="宋体" w:eastAsia="宋体" w:cs="宋体"/>
          <w:b w:val="0"/>
          <w:i w:val="0"/>
          <w:caps w:val="0"/>
          <w:color w:val="333333"/>
          <w:spacing w:val="0"/>
          <w:sz w:val="24"/>
          <w:szCs w:val="24"/>
          <w:shd w:val="clear" w:color="080000" w:fill="FEFEFE"/>
        </w:rPr>
        <w:t>规范化、常态化轨道。</w:t>
      </w:r>
    </w:p>
    <w:p>
      <w:pPr>
        <w:pStyle w:val="4"/>
        <w:widowControl/>
        <w:numPr>
          <w:numId w:val="0"/>
        </w:numPr>
        <w:wordWrap/>
        <w:adjustRightInd/>
        <w:snapToGrid/>
        <w:spacing w:before="0" w:beforeAutospacing="0" w:after="0" w:afterAutospacing="0" w:line="240" w:lineRule="auto"/>
        <w:ind w:right="0"/>
        <w:jc w:val="both"/>
        <w:textAlignment w:val="auto"/>
        <w:outlineLvl w:val="9"/>
        <w:rPr>
          <w:rFonts w:hint="eastAsia" w:ascii="宋体" w:hAnsi="宋体" w:eastAsia="宋体" w:cs="宋体"/>
          <w:b w:val="0"/>
          <w:i w:val="0"/>
          <w:caps w:val="0"/>
          <w:color w:val="333333"/>
          <w:spacing w:val="0"/>
          <w:sz w:val="24"/>
          <w:szCs w:val="24"/>
          <w:shd w:val="clear" w:color="080000" w:fill="FEFEFE"/>
        </w:rPr>
      </w:pPr>
      <w:r>
        <w:rPr>
          <w:rFonts w:hint="eastAsia" w:ascii="楷体" w:hAnsi="楷体" w:eastAsia="楷体" w:cs="楷体"/>
          <w:b w:val="0"/>
          <w:bCs w:val="0"/>
          <w:i w:val="0"/>
          <w:caps w:val="0"/>
          <w:color w:val="333333"/>
          <w:spacing w:val="0"/>
          <w:sz w:val="24"/>
          <w:szCs w:val="24"/>
          <w:shd w:val="clear" w:color="090000" w:fill="FEFEFE"/>
          <w:lang w:val="en-US" w:eastAsia="zh-CN"/>
        </w:rPr>
        <w:t xml:space="preserve">   （一）</w:t>
      </w:r>
      <w:r>
        <w:rPr>
          <w:rFonts w:hint="eastAsia" w:ascii="楷体" w:hAnsi="楷体" w:eastAsia="楷体" w:cs="楷体"/>
          <w:b w:val="0"/>
          <w:bCs w:val="0"/>
          <w:i w:val="0"/>
          <w:caps w:val="0"/>
          <w:color w:val="333333"/>
          <w:spacing w:val="0"/>
          <w:sz w:val="24"/>
          <w:szCs w:val="24"/>
          <w:shd w:val="clear" w:color="090000" w:fill="FEFEFE"/>
        </w:rPr>
        <w:t>组织领导坚强有力</w:t>
      </w:r>
      <w:r>
        <w:rPr>
          <w:rFonts w:hint="eastAsia" w:ascii="楷体" w:hAnsi="楷体" w:eastAsia="楷体" w:cs="楷体"/>
          <w:b w:val="0"/>
          <w:bCs w:val="0"/>
          <w:i w:val="0"/>
          <w:caps w:val="0"/>
          <w:color w:val="333333"/>
          <w:spacing w:val="0"/>
          <w:sz w:val="24"/>
          <w:szCs w:val="24"/>
          <w:shd w:val="clear" w:color="090000" w:fill="FEFEFE"/>
          <w:lang w:eastAsia="zh-CN"/>
        </w:rPr>
        <w:t>。</w:t>
      </w:r>
      <w:r>
        <w:rPr>
          <w:rFonts w:hint="eastAsia" w:ascii="宋体" w:hAnsi="宋体" w:eastAsia="宋体" w:cs="宋体"/>
          <w:b w:val="0"/>
          <w:i w:val="0"/>
          <w:caps w:val="0"/>
          <w:color w:val="333333"/>
          <w:spacing w:val="0"/>
          <w:sz w:val="24"/>
          <w:szCs w:val="24"/>
          <w:shd w:val="clear" w:color="080000" w:fill="FEFEFE"/>
        </w:rPr>
        <w:t>我局高度重视政</w:t>
      </w:r>
      <w:r>
        <w:rPr>
          <w:rFonts w:hint="eastAsia" w:ascii="宋体" w:hAnsi="宋体" w:cs="宋体"/>
          <w:b w:val="0"/>
          <w:i w:val="0"/>
          <w:caps w:val="0"/>
          <w:color w:val="333333"/>
          <w:spacing w:val="0"/>
          <w:sz w:val="24"/>
          <w:szCs w:val="24"/>
          <w:shd w:val="clear" w:color="080000" w:fill="FEFEFE"/>
          <w:lang w:eastAsia="zh-CN"/>
        </w:rPr>
        <w:t>府</w:t>
      </w:r>
      <w:r>
        <w:rPr>
          <w:rFonts w:hint="eastAsia" w:ascii="宋体" w:hAnsi="宋体" w:eastAsia="宋体" w:cs="宋体"/>
          <w:b w:val="0"/>
          <w:i w:val="0"/>
          <w:caps w:val="0"/>
          <w:color w:val="333333"/>
          <w:spacing w:val="0"/>
          <w:sz w:val="24"/>
          <w:szCs w:val="24"/>
          <w:shd w:val="clear" w:color="080000" w:fill="FEFEFE"/>
        </w:rPr>
        <w:t>信息公开工作，</w:t>
      </w:r>
      <w:r>
        <w:rPr>
          <w:rFonts w:hint="eastAsia" w:ascii="宋体" w:hAnsi="宋体" w:eastAsia="宋体" w:cs="宋体"/>
          <w:sz w:val="24"/>
          <w:szCs w:val="24"/>
        </w:rPr>
        <w:t>认真贯彻</w:t>
      </w:r>
      <w:r>
        <w:rPr>
          <w:rFonts w:hint="eastAsia" w:ascii="宋体" w:hAnsi="宋体" w:cs="宋体"/>
          <w:sz w:val="24"/>
          <w:szCs w:val="24"/>
          <w:lang w:eastAsia="zh-CN"/>
        </w:rPr>
        <w:t>落实</w:t>
      </w:r>
      <w:r>
        <w:rPr>
          <w:rFonts w:hint="eastAsia" w:ascii="宋体" w:hAnsi="宋体" w:eastAsia="宋体" w:cs="宋体"/>
          <w:sz w:val="24"/>
          <w:szCs w:val="24"/>
        </w:rPr>
        <w:t>《</w:t>
      </w:r>
      <w:r>
        <w:rPr>
          <w:rFonts w:hint="eastAsia" w:ascii="宋体" w:hAnsi="宋体" w:cs="宋体"/>
          <w:sz w:val="24"/>
          <w:szCs w:val="24"/>
          <w:lang w:eastAsia="zh-CN"/>
        </w:rPr>
        <w:t>中华人民共和国政府信息公开</w:t>
      </w:r>
      <w:r>
        <w:rPr>
          <w:rFonts w:hint="eastAsia" w:ascii="宋体" w:hAnsi="宋体" w:eastAsia="宋体" w:cs="宋体"/>
          <w:sz w:val="24"/>
          <w:szCs w:val="24"/>
        </w:rPr>
        <w:t>条例》精神</w:t>
      </w:r>
      <w:r>
        <w:rPr>
          <w:rFonts w:hint="eastAsia" w:ascii="宋体" w:hAnsi="宋体" w:eastAsia="宋体" w:cs="宋体"/>
          <w:b w:val="0"/>
          <w:i w:val="0"/>
          <w:caps w:val="0"/>
          <w:color w:val="333333"/>
          <w:spacing w:val="0"/>
          <w:sz w:val="24"/>
          <w:szCs w:val="24"/>
          <w:shd w:val="clear" w:color="080000" w:fill="FEFEFE"/>
        </w:rPr>
        <w:t>，依照“严格依法、全面真实、及时便民”的原则，积极、有序、稳妥推进政务信息公开的各项工作。成立了由局长任组长、分管</w:t>
      </w:r>
      <w:r>
        <w:rPr>
          <w:rFonts w:hint="eastAsia" w:ascii="宋体" w:hAnsi="宋体" w:cs="宋体"/>
          <w:b w:val="0"/>
          <w:i w:val="0"/>
          <w:caps w:val="0"/>
          <w:color w:val="333333"/>
          <w:spacing w:val="0"/>
          <w:sz w:val="24"/>
          <w:szCs w:val="24"/>
          <w:shd w:val="clear" w:color="080000" w:fill="FEFEFE"/>
          <w:lang w:eastAsia="zh-CN"/>
        </w:rPr>
        <w:t>领导</w:t>
      </w:r>
      <w:r>
        <w:rPr>
          <w:rFonts w:hint="eastAsia" w:ascii="宋体" w:hAnsi="宋体" w:eastAsia="宋体" w:cs="宋体"/>
          <w:b w:val="0"/>
          <w:i w:val="0"/>
          <w:caps w:val="0"/>
          <w:color w:val="333333"/>
          <w:spacing w:val="0"/>
          <w:sz w:val="24"/>
          <w:szCs w:val="24"/>
          <w:shd w:val="clear" w:color="080000" w:fill="FEFEFE"/>
        </w:rPr>
        <w:t>任副组长、</w:t>
      </w:r>
      <w:r>
        <w:rPr>
          <w:rFonts w:hint="eastAsia" w:ascii="宋体" w:hAnsi="宋体" w:cs="宋体"/>
          <w:b w:val="0"/>
          <w:i w:val="0"/>
          <w:caps w:val="0"/>
          <w:color w:val="333333"/>
          <w:spacing w:val="0"/>
          <w:sz w:val="24"/>
          <w:szCs w:val="24"/>
          <w:shd w:val="clear" w:color="080000" w:fill="FEFEFE"/>
          <w:lang w:eastAsia="zh-CN"/>
        </w:rPr>
        <w:t>科室负责人</w:t>
      </w:r>
      <w:r>
        <w:rPr>
          <w:rFonts w:hint="eastAsia" w:ascii="宋体" w:hAnsi="宋体" w:eastAsia="宋体" w:cs="宋体"/>
          <w:b w:val="0"/>
          <w:i w:val="0"/>
          <w:caps w:val="0"/>
          <w:color w:val="333333"/>
          <w:spacing w:val="0"/>
          <w:sz w:val="24"/>
          <w:szCs w:val="24"/>
          <w:shd w:val="clear" w:color="080000" w:fill="FEFEFE"/>
        </w:rPr>
        <w:t>为成员的领导小组，下设办公室，具体由局办公室负责政府信息公开日常工作；进一步规范信息公布流程，进一步建立健全政府信息内部审查、协调发布等制度，确保信息公开安全高效。</w:t>
      </w:r>
    </w:p>
    <w:p>
      <w:pPr>
        <w:pStyle w:val="4"/>
        <w:widowControl/>
        <w:numPr>
          <w:numId w:val="0"/>
        </w:numPr>
        <w:shd w:val="clear" w:color="070000" w:fill="FEFEFE"/>
        <w:wordWrap/>
        <w:adjustRightInd/>
        <w:snapToGrid/>
        <w:spacing w:before="0" w:beforeAutospacing="0" w:after="0" w:afterAutospacing="0" w:line="240" w:lineRule="auto"/>
        <w:ind w:right="0"/>
        <w:jc w:val="both"/>
        <w:textAlignment w:val="auto"/>
        <w:outlineLvl w:val="9"/>
        <w:rPr>
          <w:rFonts w:hint="eastAsia" w:ascii="宋体" w:hAnsi="宋体" w:eastAsia="宋体" w:cs="宋体"/>
          <w:b w:val="0"/>
          <w:i w:val="0"/>
          <w:caps w:val="0"/>
          <w:color w:val="333333"/>
          <w:spacing w:val="0"/>
          <w:sz w:val="24"/>
          <w:szCs w:val="24"/>
          <w:shd w:val="clear" w:color="080000" w:fill="FEFEFE"/>
          <w:lang w:val="en-US" w:eastAsia="zh-CN"/>
        </w:rPr>
      </w:pPr>
      <w:r>
        <w:rPr>
          <w:rFonts w:hint="eastAsia" w:ascii="楷体" w:hAnsi="楷体" w:eastAsia="楷体" w:cs="楷体"/>
          <w:b w:val="0"/>
          <w:bCs w:val="0"/>
          <w:i w:val="0"/>
          <w:caps w:val="0"/>
          <w:color w:val="333333"/>
          <w:spacing w:val="0"/>
          <w:sz w:val="24"/>
          <w:szCs w:val="24"/>
          <w:shd w:val="clear" w:color="090000" w:fill="FEFEFE"/>
          <w:lang w:val="en-US" w:eastAsia="zh-CN"/>
        </w:rPr>
        <w:t xml:space="preserve">   （二）</w:t>
      </w:r>
      <w:r>
        <w:rPr>
          <w:rFonts w:hint="eastAsia" w:ascii="楷体" w:hAnsi="楷体" w:eastAsia="楷体" w:cs="楷体"/>
          <w:b w:val="0"/>
          <w:bCs w:val="0"/>
          <w:i w:val="0"/>
          <w:caps w:val="0"/>
          <w:color w:val="333333"/>
          <w:spacing w:val="0"/>
          <w:sz w:val="24"/>
          <w:szCs w:val="24"/>
          <w:shd w:val="clear" w:color="090000" w:fill="FEFEFE"/>
        </w:rPr>
        <w:t>统筹谋划措施具体</w:t>
      </w:r>
      <w:r>
        <w:rPr>
          <w:rFonts w:hint="eastAsia" w:ascii="楷体" w:hAnsi="楷体" w:eastAsia="楷体" w:cs="楷体"/>
          <w:b w:val="0"/>
          <w:bCs w:val="0"/>
          <w:i w:val="0"/>
          <w:caps w:val="0"/>
          <w:color w:val="333333"/>
          <w:spacing w:val="0"/>
          <w:sz w:val="24"/>
          <w:szCs w:val="24"/>
          <w:shd w:val="clear" w:color="090000" w:fill="FEFEFE"/>
          <w:lang w:eastAsia="zh-CN"/>
        </w:rPr>
        <w:t>。</w:t>
      </w:r>
      <w:r>
        <w:rPr>
          <w:rFonts w:hint="eastAsia" w:ascii="宋体" w:hAnsi="宋体" w:eastAsia="宋体" w:cs="宋体"/>
          <w:b w:val="0"/>
          <w:i w:val="0"/>
          <w:caps w:val="0"/>
          <w:color w:val="333333"/>
          <w:spacing w:val="0"/>
          <w:sz w:val="24"/>
          <w:szCs w:val="24"/>
          <w:shd w:val="clear" w:color="080000" w:fill="FEFEFE"/>
        </w:rPr>
        <w:t xml:space="preserve">为进一步提高政府信息公开工作效果，满足社会群众的知情权、参与权、表达权和监督权，以时间为节点制定政务信息发布计划，将承担的民生实事和重点工作任务阶段性完成情况通过政府网站等政务公开载体及时向社会公开发布，促进了政府信息发布工作的进一步落实。 </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W w:w="9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2461"/>
        <w:gridCol w:w="2184"/>
        <w:gridCol w:w="2184"/>
        <w:gridCol w:w="2185"/>
      </w:tblGrid>
      <w:tr>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rPr>
          <w:trHeight w:val="431" w:hRule="atLeast"/>
          <w:jc w:val="center"/>
        </w:trPr>
        <w:tc>
          <w:tcPr>
            <w:tcW w:w="24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rPr>
          <w:trHeight w:val="431" w:hRule="atLeast"/>
          <w:jc w:val="center"/>
        </w:trPr>
        <w:tc>
          <w:tcPr>
            <w:tcW w:w="24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21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rPr>
          <w:trHeight w:val="471" w:hRule="atLeast"/>
          <w:jc w:val="center"/>
        </w:trPr>
        <w:tc>
          <w:tcPr>
            <w:tcW w:w="24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21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rPr>
          <w:trHeight w:val="431" w:hRule="atLeast"/>
          <w:jc w:val="center"/>
        </w:trPr>
        <w:tc>
          <w:tcPr>
            <w:tcW w:w="24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rPr>
          <w:trHeight w:val="431" w:hRule="atLeast"/>
          <w:jc w:val="center"/>
        </w:trPr>
        <w:tc>
          <w:tcPr>
            <w:tcW w:w="24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rPr>
          <w:trHeight w:val="431" w:hRule="atLeast"/>
          <w:jc w:val="center"/>
        </w:trPr>
        <w:tc>
          <w:tcPr>
            <w:tcW w:w="24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rPr>
          <w:trHeight w:val="430" w:hRule="atLeast"/>
          <w:jc w:val="center"/>
        </w:trPr>
        <w:tc>
          <w:tcPr>
            <w:tcW w:w="24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rPr>
          <w:trHeight w:val="409" w:hRule="atLeast"/>
          <w:jc w:val="center"/>
        </w:trPr>
        <w:tc>
          <w:tcPr>
            <w:tcW w:w="24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rPr>
          <w:trHeight w:val="431" w:hRule="atLeast"/>
          <w:jc w:val="center"/>
        </w:trPr>
        <w:tc>
          <w:tcPr>
            <w:tcW w:w="24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rPr>
          <w:trHeight w:val="431" w:hRule="atLeast"/>
          <w:jc w:val="center"/>
        </w:trPr>
        <w:tc>
          <w:tcPr>
            <w:tcW w:w="24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rPr>
          <w:trHeight w:val="390" w:hRule="atLeast"/>
          <w:jc w:val="center"/>
        </w:trPr>
        <w:tc>
          <w:tcPr>
            <w:tcW w:w="4119" w:type="dxa"/>
            <w:gridSpan w:val="3"/>
            <w:vMerge w:val="restart"/>
            <w:vAlign w:val="center"/>
          </w:tcPr>
          <w:p>
            <w:pPr>
              <w:jc w:val="center"/>
              <w:rPr>
                <w:rFonts w:ascii="宋体" w:hAnsi="宋体" w:eastAsia="宋体" w:cs="宋体"/>
                <w:b/>
                <w:bCs/>
                <w:sz w:val="24"/>
                <w:szCs w:val="24"/>
              </w:rPr>
            </w:pPr>
            <w:r>
              <w:rPr>
                <w:rFonts w:ascii="楷体" w:hAnsi="楷体" w:eastAsia="楷体" w:cs="楷体"/>
                <w:kern w:val="0"/>
                <w:sz w:val="20"/>
                <w:szCs w:val="20"/>
              </w:rPr>
              <w:t>（本列数据的勾稽关系为：第一项加第二项之和，等于第三项加第四项之和）</w:t>
            </w:r>
          </w:p>
        </w:tc>
        <w:tc>
          <w:tcPr>
            <w:tcW w:w="4895" w:type="dxa"/>
            <w:gridSpan w:val="7"/>
            <w:vAlign w:val="center"/>
          </w:tcPr>
          <w:p>
            <w:pPr>
              <w:jc w:val="center"/>
              <w:rPr>
                <w:rFonts w:ascii="宋体" w:hAnsi="宋体" w:eastAsia="宋体" w:cs="宋体"/>
                <w:b/>
                <w:bCs/>
                <w:sz w:val="24"/>
                <w:szCs w:val="24"/>
              </w:rPr>
            </w:pPr>
            <w:r>
              <w:rPr>
                <w:rFonts w:hint="eastAsia" w:ascii="宋体" w:hAnsi="宋体" w:eastAsia="宋体" w:cs="宋体"/>
                <w:kern w:val="0"/>
                <w:sz w:val="20"/>
                <w:szCs w:val="20"/>
              </w:rPr>
              <w:t>申请人情况</w:t>
            </w:r>
          </w:p>
        </w:tc>
      </w:tr>
      <w:tr>
        <w:trPr>
          <w:trHeight w:val="411" w:hRule="atLeast"/>
          <w:jc w:val="center"/>
        </w:trPr>
        <w:tc>
          <w:tcPr>
            <w:tcW w:w="4119" w:type="dxa"/>
            <w:gridSpan w:val="3"/>
            <w:vMerge w:val="continue"/>
            <w:vAlign w:val="top"/>
          </w:tcPr>
          <w:p>
            <w:pPr>
              <w:rPr>
                <w:rFonts w:ascii="宋体" w:hAnsi="宋体" w:eastAsia="宋体" w:cs="宋体"/>
                <w:b/>
                <w:bCs/>
                <w:sz w:val="24"/>
                <w:szCs w:val="24"/>
              </w:rPr>
            </w:pPr>
          </w:p>
        </w:tc>
        <w:tc>
          <w:tcPr>
            <w:tcW w:w="685"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rPr>
              <w:t>自然人</w:t>
            </w:r>
          </w:p>
        </w:tc>
        <w:tc>
          <w:tcPr>
            <w:tcW w:w="3579" w:type="dxa"/>
            <w:gridSpan w:val="5"/>
            <w:vAlign w:val="center"/>
          </w:tcPr>
          <w:p>
            <w:pPr>
              <w:jc w:val="center"/>
              <w:rPr>
                <w:rFonts w:ascii="宋体" w:hAnsi="宋体" w:eastAsia="宋体" w:cs="宋体"/>
                <w:b/>
                <w:bCs/>
                <w:sz w:val="24"/>
                <w:szCs w:val="24"/>
              </w:rPr>
            </w:pPr>
            <w:r>
              <w:rPr>
                <w:rFonts w:hint="eastAsia" w:ascii="宋体" w:hAnsi="宋体" w:eastAsia="宋体" w:cs="宋体"/>
                <w:kern w:val="0"/>
                <w:sz w:val="20"/>
                <w:szCs w:val="20"/>
              </w:rPr>
              <w:t>法人或其他组织</w:t>
            </w:r>
          </w:p>
        </w:tc>
        <w:tc>
          <w:tcPr>
            <w:tcW w:w="631"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rPr>
              <w:t>总计</w:t>
            </w:r>
          </w:p>
        </w:tc>
      </w:tr>
      <w:tr>
        <w:trPr>
          <w:jc w:val="center"/>
        </w:trPr>
        <w:tc>
          <w:tcPr>
            <w:tcW w:w="4119" w:type="dxa"/>
            <w:gridSpan w:val="3"/>
            <w:vMerge w:val="continue"/>
            <w:vAlign w:val="top"/>
          </w:tcPr>
          <w:p>
            <w:pPr>
              <w:rPr>
                <w:rFonts w:ascii="宋体" w:hAnsi="宋体" w:eastAsia="宋体" w:cs="宋体"/>
                <w:b/>
                <w:bCs/>
                <w:sz w:val="24"/>
                <w:szCs w:val="24"/>
              </w:rPr>
            </w:pPr>
          </w:p>
        </w:tc>
        <w:tc>
          <w:tcPr>
            <w:tcW w:w="685" w:type="dxa"/>
            <w:vMerge w:val="continue"/>
            <w:vAlign w:val="top"/>
          </w:tcPr>
          <w:p>
            <w:pPr>
              <w:rPr>
                <w:rFonts w:ascii="宋体" w:hAnsi="宋体" w:eastAsia="宋体" w:cs="宋体"/>
                <w:b/>
                <w:bCs/>
                <w:sz w:val="24"/>
                <w:szCs w:val="24"/>
              </w:rPr>
            </w:pPr>
          </w:p>
        </w:tc>
        <w:tc>
          <w:tcPr>
            <w:tcW w:w="696"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rPr>
              <w:t>商业企业</w:t>
            </w:r>
          </w:p>
        </w:tc>
        <w:tc>
          <w:tcPr>
            <w:tcW w:w="729"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rPr>
              <w:t>科研机构</w:t>
            </w:r>
          </w:p>
        </w:tc>
        <w:tc>
          <w:tcPr>
            <w:tcW w:w="707"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rPr>
              <w:t>社会公益组织</w:t>
            </w:r>
          </w:p>
        </w:tc>
        <w:tc>
          <w:tcPr>
            <w:tcW w:w="762"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rPr>
              <w:t>法律服务机构</w:t>
            </w:r>
          </w:p>
        </w:tc>
        <w:tc>
          <w:tcPr>
            <w:tcW w:w="685"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rPr>
              <w:t>其他</w:t>
            </w:r>
          </w:p>
        </w:tc>
        <w:tc>
          <w:tcPr>
            <w:tcW w:w="631" w:type="dxa"/>
            <w:vMerge w:val="continue"/>
            <w:vAlign w:val="top"/>
          </w:tcPr>
          <w:p>
            <w:pPr>
              <w:rPr>
                <w:rFonts w:ascii="宋体" w:hAnsi="宋体" w:eastAsia="宋体" w:cs="宋体"/>
                <w:b/>
                <w:bCs/>
                <w:sz w:val="24"/>
                <w:szCs w:val="24"/>
              </w:rPr>
            </w:pPr>
          </w:p>
        </w:tc>
      </w:tr>
      <w:tr>
        <w:trPr>
          <w:trHeight w:val="422"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rPr>
              <w:t>一、本年新收政府信息公开申请数量</w:t>
            </w:r>
          </w:p>
        </w:tc>
        <w:tc>
          <w:tcPr>
            <w:tcW w:w="685" w:type="dxa"/>
            <w:vAlign w:val="center"/>
          </w:tcPr>
          <w:p>
            <w:pPr>
              <w:jc w:val="center"/>
              <w:rPr>
                <w:rFonts w:hint="eastAsia" w:ascii="宋体" w:hAnsi="宋体" w:eastAsia="宋体" w:cs="宋体"/>
                <w:b/>
                <w:bCs/>
                <w:sz w:val="24"/>
                <w:szCs w:val="24"/>
                <w:lang w:val="en-US" w:eastAsia="zh-CN"/>
              </w:rPr>
            </w:pPr>
            <w:r>
              <w:rPr>
                <w:rFonts w:hint="eastAsia" w:ascii="宋体" w:hAnsi="宋体" w:cs="宋体"/>
                <w:kern w:val="0"/>
                <w:sz w:val="20"/>
                <w:szCs w:val="20"/>
                <w:lang w:val="en-US" w:eastAsia="zh-CN"/>
              </w:rPr>
              <w:t>0</w:t>
            </w:r>
          </w:p>
        </w:tc>
        <w:tc>
          <w:tcPr>
            <w:tcW w:w="696"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29"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07"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62"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31"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r>
      <w:tr>
        <w:trPr>
          <w:trHeight w:val="455"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rPr>
              <w:t>二、上年结转政府信息公开申请数量</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96"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29"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07"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62"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31"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r>
      <w:tr>
        <w:trPr>
          <w:trHeight w:val="466" w:hRule="atLeast"/>
          <w:jc w:val="center"/>
        </w:trPr>
        <w:tc>
          <w:tcPr>
            <w:tcW w:w="653" w:type="dxa"/>
            <w:vMerge w:val="restart"/>
            <w:vAlign w:val="center"/>
          </w:tcPr>
          <w:p>
            <w:pPr>
              <w:widowControl/>
              <w:spacing w:line="12" w:lineRule="atLeast"/>
              <w:rPr>
                <w:rFonts w:hint="eastAsia" w:ascii="宋体" w:hAnsi="宋体" w:eastAsia="宋体" w:cs="宋体"/>
                <w:kern w:val="0"/>
                <w:sz w:val="20"/>
                <w:szCs w:val="20"/>
              </w:rPr>
            </w:pPr>
          </w:p>
          <w:p>
            <w:pPr>
              <w:widowControl/>
              <w:spacing w:line="12" w:lineRule="atLeast"/>
              <w:rPr>
                <w:rFonts w:hint="eastAsia" w:ascii="宋体" w:hAnsi="宋体" w:eastAsia="宋体" w:cs="宋体"/>
                <w:kern w:val="0"/>
                <w:sz w:val="20"/>
                <w:szCs w:val="20"/>
              </w:rPr>
            </w:pPr>
          </w:p>
          <w:p>
            <w:pPr>
              <w:widowControl/>
              <w:spacing w:line="12" w:lineRule="atLeast"/>
              <w:rPr>
                <w:rFonts w:hint="eastAsia" w:ascii="宋体" w:hAnsi="宋体" w:eastAsia="宋体" w:cs="宋体"/>
                <w:kern w:val="0"/>
                <w:sz w:val="20"/>
                <w:szCs w:val="20"/>
              </w:rPr>
            </w:pPr>
          </w:p>
          <w:p>
            <w:pPr>
              <w:widowControl/>
              <w:spacing w:line="12" w:lineRule="atLeast"/>
              <w:rPr>
                <w:rFonts w:hint="eastAsia" w:ascii="宋体" w:hAnsi="宋体" w:eastAsia="宋体" w:cs="宋体"/>
                <w:kern w:val="0"/>
                <w:sz w:val="20"/>
                <w:szCs w:val="20"/>
              </w:rPr>
            </w:pPr>
          </w:p>
          <w:p>
            <w:pPr>
              <w:widowControl/>
              <w:spacing w:line="12" w:lineRule="atLeast"/>
              <w:rPr>
                <w:rFonts w:hint="eastAsia" w:ascii="宋体" w:hAnsi="宋体" w:eastAsia="宋体" w:cs="宋体"/>
                <w:kern w:val="0"/>
                <w:sz w:val="20"/>
                <w:szCs w:val="20"/>
              </w:rPr>
            </w:pPr>
          </w:p>
          <w:p>
            <w:pPr>
              <w:widowControl/>
              <w:spacing w:line="12" w:lineRule="atLeast"/>
              <w:rPr>
                <w:rFonts w:hint="eastAsia" w:ascii="宋体" w:hAnsi="宋体" w:eastAsia="宋体" w:cs="宋体"/>
                <w:kern w:val="0"/>
                <w:sz w:val="20"/>
                <w:szCs w:val="20"/>
              </w:rPr>
            </w:pPr>
          </w:p>
          <w:p>
            <w:pPr>
              <w:widowControl/>
              <w:spacing w:line="12" w:lineRule="atLeast"/>
              <w:rPr>
                <w:rFonts w:hint="eastAsia" w:ascii="宋体" w:hAnsi="宋体" w:eastAsia="宋体" w:cs="宋体"/>
                <w:kern w:val="0"/>
                <w:sz w:val="20"/>
                <w:szCs w:val="20"/>
              </w:rPr>
            </w:pPr>
          </w:p>
          <w:p>
            <w:pPr>
              <w:widowControl/>
              <w:spacing w:line="12" w:lineRule="atLeast"/>
              <w:rPr>
                <w:rFonts w:hint="eastAsia" w:ascii="宋体" w:hAnsi="宋体" w:eastAsia="宋体" w:cs="宋体"/>
                <w:kern w:val="0"/>
                <w:sz w:val="20"/>
                <w:szCs w:val="20"/>
              </w:rPr>
            </w:pPr>
          </w:p>
          <w:p>
            <w:pPr>
              <w:widowControl/>
              <w:spacing w:line="12" w:lineRule="atLeast"/>
              <w:rPr>
                <w:rFonts w:hint="eastAsia" w:ascii="宋体" w:hAnsi="宋体" w:eastAsia="宋体" w:cs="宋体"/>
                <w:kern w:val="0"/>
                <w:sz w:val="20"/>
                <w:szCs w:val="20"/>
              </w:rPr>
            </w:pPr>
          </w:p>
          <w:p>
            <w:pPr>
              <w:widowControl/>
              <w:spacing w:line="12" w:lineRule="atLeast"/>
              <w:rPr>
                <w:rFonts w:hint="eastAsia" w:ascii="宋体" w:hAnsi="宋体" w:eastAsia="宋体" w:cs="宋体"/>
                <w:kern w:val="0"/>
                <w:sz w:val="20"/>
                <w:szCs w:val="20"/>
              </w:rPr>
            </w:pPr>
          </w:p>
          <w:p>
            <w:pPr>
              <w:widowControl/>
              <w:spacing w:line="12" w:lineRule="atLeast"/>
              <w:rPr>
                <w:rFonts w:hint="eastAsia" w:ascii="宋体" w:hAnsi="宋体" w:eastAsia="宋体" w:cs="宋体"/>
                <w:kern w:val="0"/>
                <w:sz w:val="20"/>
                <w:szCs w:val="20"/>
              </w:rPr>
            </w:pPr>
          </w:p>
          <w:p>
            <w:pPr>
              <w:widowControl/>
              <w:spacing w:line="12" w:lineRule="atLeast"/>
              <w:rPr>
                <w:rFonts w:hint="eastAsia" w:ascii="宋体" w:hAnsi="宋体" w:eastAsia="宋体" w:cs="宋体"/>
                <w:kern w:val="0"/>
                <w:sz w:val="20"/>
                <w:szCs w:val="20"/>
              </w:rPr>
            </w:pPr>
          </w:p>
          <w:p>
            <w:pPr>
              <w:widowControl/>
              <w:spacing w:line="12" w:lineRule="atLeast"/>
              <w:rPr>
                <w:rFonts w:hint="eastAsia" w:ascii="宋体" w:hAnsi="宋体" w:eastAsia="宋体" w:cs="宋体"/>
                <w:kern w:val="0"/>
                <w:sz w:val="20"/>
                <w:szCs w:val="20"/>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rPr>
              <w:t>三、本年度办理结果</w:t>
            </w: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rPr>
              <w:t>（一）予以公开</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96"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29"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07"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62"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31"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r>
      <w:tr>
        <w:trPr>
          <w:jc w:val="center"/>
        </w:trPr>
        <w:tc>
          <w:tcPr>
            <w:tcW w:w="653" w:type="dxa"/>
            <w:vMerge w:val="continue"/>
            <w:vAlign w:val="top"/>
          </w:tcPr>
          <w:p>
            <w:pPr>
              <w:rPr>
                <w:rFonts w:ascii="宋体" w:hAnsi="宋体" w:eastAsia="宋体" w:cs="宋体"/>
                <w:b/>
                <w:bCs/>
                <w:sz w:val="24"/>
                <w:szCs w:val="24"/>
              </w:rPr>
            </w:pP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rPr>
              <w:t>（二）部分公开</w:t>
            </w:r>
            <w:r>
              <w:rPr>
                <w:rFonts w:hint="eastAsia" w:ascii="楷体" w:hAnsi="楷体" w:eastAsia="楷体" w:cs="楷体"/>
                <w:kern w:val="0"/>
                <w:sz w:val="20"/>
                <w:szCs w:val="20"/>
              </w:rPr>
              <w:t>（区分处理的，只计这一情形，不计其他情形）</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96"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29"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07"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62"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31"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r>
      <w:tr>
        <w:trPr>
          <w:trHeight w:val="466" w:hRule="atLeast"/>
          <w:jc w:val="center"/>
        </w:trPr>
        <w:tc>
          <w:tcPr>
            <w:tcW w:w="653" w:type="dxa"/>
            <w:vMerge w:val="continue"/>
            <w:vAlign w:val="top"/>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rPr>
              <w:t>（三）不予公开</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rPr>
              <w:t>1.属于国家秘密</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96"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29"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07"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62"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31"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r>
      <w:tr>
        <w:trPr>
          <w:jc w:val="center"/>
        </w:trPr>
        <w:tc>
          <w:tcPr>
            <w:tcW w:w="653" w:type="dxa"/>
            <w:vMerge w:val="continue"/>
            <w:vAlign w:val="top"/>
          </w:tcPr>
          <w:p>
            <w:pPr>
              <w:rPr>
                <w:rFonts w:ascii="宋体" w:hAnsi="宋体" w:eastAsia="宋体" w:cs="宋体"/>
                <w:b/>
                <w:bCs/>
                <w:sz w:val="24"/>
                <w:szCs w:val="24"/>
              </w:rPr>
            </w:pPr>
          </w:p>
        </w:tc>
        <w:tc>
          <w:tcPr>
            <w:tcW w:w="815" w:type="dxa"/>
            <w:vMerge w:val="continue"/>
            <w:vAlign w:val="top"/>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rPr>
              <w:t>2.其他法律行政法规禁止公开</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96"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29"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07"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62"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31"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r>
      <w:tr>
        <w:trPr>
          <w:trHeight w:val="400" w:hRule="atLeast"/>
          <w:jc w:val="center"/>
        </w:trPr>
        <w:tc>
          <w:tcPr>
            <w:tcW w:w="653" w:type="dxa"/>
            <w:vMerge w:val="continue"/>
            <w:vAlign w:val="top"/>
          </w:tcPr>
          <w:p>
            <w:pPr>
              <w:rPr>
                <w:rFonts w:ascii="宋体" w:hAnsi="宋体" w:eastAsia="宋体" w:cs="宋体"/>
                <w:b/>
                <w:bCs/>
                <w:sz w:val="24"/>
                <w:szCs w:val="24"/>
              </w:rPr>
            </w:pPr>
          </w:p>
        </w:tc>
        <w:tc>
          <w:tcPr>
            <w:tcW w:w="815" w:type="dxa"/>
            <w:vMerge w:val="continue"/>
            <w:vAlign w:val="top"/>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rPr>
              <w:t>3.危及“三安全一稳定”</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96"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29"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07"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62"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31"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r>
      <w:tr>
        <w:trPr>
          <w:trHeight w:val="400" w:hRule="atLeast"/>
          <w:jc w:val="center"/>
        </w:trPr>
        <w:tc>
          <w:tcPr>
            <w:tcW w:w="653" w:type="dxa"/>
            <w:vMerge w:val="continue"/>
            <w:vAlign w:val="top"/>
          </w:tcPr>
          <w:p>
            <w:pPr>
              <w:rPr>
                <w:rFonts w:ascii="宋体" w:hAnsi="宋体" w:eastAsia="宋体" w:cs="宋体"/>
                <w:b/>
                <w:bCs/>
                <w:sz w:val="24"/>
                <w:szCs w:val="24"/>
              </w:rPr>
            </w:pPr>
          </w:p>
        </w:tc>
        <w:tc>
          <w:tcPr>
            <w:tcW w:w="815" w:type="dxa"/>
            <w:vMerge w:val="continue"/>
            <w:vAlign w:val="top"/>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rPr>
              <w:t>4.保护第三方合法权益</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96"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29"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07"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62"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31"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r>
      <w:tr>
        <w:trPr>
          <w:trHeight w:val="389" w:hRule="atLeast"/>
          <w:jc w:val="center"/>
        </w:trPr>
        <w:tc>
          <w:tcPr>
            <w:tcW w:w="653" w:type="dxa"/>
            <w:vMerge w:val="continue"/>
            <w:vAlign w:val="top"/>
          </w:tcPr>
          <w:p>
            <w:pPr>
              <w:rPr>
                <w:rFonts w:ascii="宋体" w:hAnsi="宋体" w:eastAsia="宋体" w:cs="宋体"/>
                <w:b/>
                <w:bCs/>
                <w:sz w:val="24"/>
                <w:szCs w:val="24"/>
              </w:rPr>
            </w:pPr>
          </w:p>
        </w:tc>
        <w:tc>
          <w:tcPr>
            <w:tcW w:w="815" w:type="dxa"/>
            <w:vMerge w:val="continue"/>
            <w:vAlign w:val="top"/>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rPr>
              <w:t>5.属于三类内部事务信息</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96"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29"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07"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62"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31"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r>
      <w:tr>
        <w:trPr>
          <w:trHeight w:val="379" w:hRule="atLeast"/>
          <w:jc w:val="center"/>
        </w:trPr>
        <w:tc>
          <w:tcPr>
            <w:tcW w:w="653" w:type="dxa"/>
            <w:vMerge w:val="continue"/>
            <w:vAlign w:val="top"/>
          </w:tcPr>
          <w:p>
            <w:pPr>
              <w:rPr>
                <w:rFonts w:ascii="宋体" w:hAnsi="宋体" w:eastAsia="宋体" w:cs="宋体"/>
                <w:b/>
                <w:bCs/>
                <w:sz w:val="24"/>
                <w:szCs w:val="24"/>
              </w:rPr>
            </w:pPr>
          </w:p>
        </w:tc>
        <w:tc>
          <w:tcPr>
            <w:tcW w:w="815" w:type="dxa"/>
            <w:vMerge w:val="continue"/>
            <w:vAlign w:val="top"/>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rPr>
              <w:t>6.属于四类过程性信息</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96"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29"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07"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62"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31"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r>
      <w:tr>
        <w:trPr>
          <w:trHeight w:val="420" w:hRule="atLeast"/>
          <w:jc w:val="center"/>
        </w:trPr>
        <w:tc>
          <w:tcPr>
            <w:tcW w:w="653" w:type="dxa"/>
            <w:vMerge w:val="continue"/>
            <w:vAlign w:val="top"/>
          </w:tcPr>
          <w:p>
            <w:pPr>
              <w:rPr>
                <w:rFonts w:ascii="宋体" w:hAnsi="宋体" w:eastAsia="宋体" w:cs="宋体"/>
                <w:b/>
                <w:bCs/>
                <w:sz w:val="24"/>
                <w:szCs w:val="24"/>
              </w:rPr>
            </w:pPr>
          </w:p>
        </w:tc>
        <w:tc>
          <w:tcPr>
            <w:tcW w:w="815" w:type="dxa"/>
            <w:vMerge w:val="continue"/>
            <w:vAlign w:val="top"/>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rPr>
              <w:t>7.属于行政执法案卷</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96"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29"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07"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62"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31"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r>
      <w:tr>
        <w:trPr>
          <w:trHeight w:val="420" w:hRule="atLeast"/>
          <w:jc w:val="center"/>
        </w:trPr>
        <w:tc>
          <w:tcPr>
            <w:tcW w:w="653" w:type="dxa"/>
            <w:vMerge w:val="continue"/>
            <w:vAlign w:val="top"/>
          </w:tcPr>
          <w:p>
            <w:pPr>
              <w:rPr>
                <w:rFonts w:ascii="宋体" w:hAnsi="宋体" w:eastAsia="宋体" w:cs="宋体"/>
                <w:b/>
                <w:bCs/>
                <w:sz w:val="24"/>
                <w:szCs w:val="24"/>
              </w:rPr>
            </w:pPr>
          </w:p>
        </w:tc>
        <w:tc>
          <w:tcPr>
            <w:tcW w:w="815" w:type="dxa"/>
            <w:vMerge w:val="continue"/>
            <w:vAlign w:val="top"/>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rPr>
              <w:t>8.属于行政查询事项</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96"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29"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07"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62"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31"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r>
      <w:tr>
        <w:trPr>
          <w:jc w:val="center"/>
        </w:trPr>
        <w:tc>
          <w:tcPr>
            <w:tcW w:w="653" w:type="dxa"/>
            <w:vMerge w:val="continue"/>
            <w:vAlign w:val="top"/>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rPr>
              <w:t>（四）无法提供</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rPr>
              <w:t>1.本机关不掌握相关政府信息</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96"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29"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07"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62"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31"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r>
      <w:tr>
        <w:trPr>
          <w:jc w:val="center"/>
        </w:trPr>
        <w:tc>
          <w:tcPr>
            <w:tcW w:w="653" w:type="dxa"/>
            <w:vMerge w:val="continue"/>
            <w:vAlign w:val="top"/>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rPr>
              <w:t>2.没有现成信息需要另行制作</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96"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29"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07"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62"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31"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r>
      <w:tr>
        <w:trPr>
          <w:trHeight w:val="369" w:hRule="atLeast"/>
          <w:jc w:val="center"/>
        </w:trPr>
        <w:tc>
          <w:tcPr>
            <w:tcW w:w="653" w:type="dxa"/>
            <w:vMerge w:val="continue"/>
            <w:vAlign w:val="top"/>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rPr>
              <w:t>3.补正后申请内容仍不明确</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96"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29"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07"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62"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31"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r>
      <w:tr>
        <w:trPr>
          <w:trHeight w:val="400" w:hRule="atLeast"/>
          <w:jc w:val="center"/>
        </w:trPr>
        <w:tc>
          <w:tcPr>
            <w:tcW w:w="653" w:type="dxa"/>
            <w:vMerge w:val="continue"/>
            <w:vAlign w:val="top"/>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rPr>
              <w:t>（五）不予处理</w:t>
            </w: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rPr>
              <w:t>1.信访举报投诉类申请</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96"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29"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07"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62"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31"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r>
      <w:tr>
        <w:trPr>
          <w:trHeight w:val="389" w:hRule="atLeast"/>
          <w:jc w:val="center"/>
        </w:trPr>
        <w:tc>
          <w:tcPr>
            <w:tcW w:w="653" w:type="dxa"/>
            <w:vMerge w:val="continue"/>
            <w:vAlign w:val="top"/>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rPr>
              <w:t>2.重复申请</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96"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29"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07"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62"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31"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r>
      <w:tr>
        <w:trPr>
          <w:trHeight w:val="423" w:hRule="atLeast"/>
          <w:jc w:val="center"/>
        </w:trPr>
        <w:tc>
          <w:tcPr>
            <w:tcW w:w="653" w:type="dxa"/>
            <w:vMerge w:val="continue"/>
            <w:vAlign w:val="top"/>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rPr>
              <w:t>3.要求提供公开出版物</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96"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29"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07"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62"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31"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r>
      <w:tr>
        <w:trPr>
          <w:trHeight w:val="401" w:hRule="atLeast"/>
          <w:jc w:val="center"/>
        </w:trPr>
        <w:tc>
          <w:tcPr>
            <w:tcW w:w="653" w:type="dxa"/>
            <w:vMerge w:val="continue"/>
            <w:vAlign w:val="top"/>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rPr>
              <w:t>4.无正当理由大量反复申请</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96"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29"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07"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62"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31"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r>
      <w:tr>
        <w:trPr>
          <w:jc w:val="center"/>
        </w:trPr>
        <w:tc>
          <w:tcPr>
            <w:tcW w:w="653" w:type="dxa"/>
            <w:vMerge w:val="continue"/>
            <w:vAlign w:val="top"/>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rPr>
              <w:t>5.要求行政机关确认或重新出具已获取信息</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96"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29"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07"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62"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31"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r>
      <w:tr>
        <w:trPr>
          <w:jc w:val="center"/>
        </w:trPr>
        <w:tc>
          <w:tcPr>
            <w:tcW w:w="653" w:type="dxa"/>
            <w:vMerge w:val="continue"/>
            <w:vAlign w:val="top"/>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rPr>
              <w:t>（六）其他处理</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rPr>
              <w:t>1.申请人无正当理由逾期不补正、行政机关不再处理其政府信息公开申请</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96"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29"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07"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62"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31"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r>
      <w:tr>
        <w:trPr>
          <w:jc w:val="center"/>
        </w:trPr>
        <w:tc>
          <w:tcPr>
            <w:tcW w:w="653" w:type="dxa"/>
            <w:vMerge w:val="continue"/>
            <w:vAlign w:val="top"/>
          </w:tcPr>
          <w:p>
            <w:pPr>
              <w:rPr>
                <w:rFonts w:ascii="宋体" w:hAnsi="宋体" w:eastAsia="宋体" w:cs="宋体"/>
                <w:b/>
                <w:bCs/>
                <w:sz w:val="24"/>
                <w:szCs w:val="24"/>
              </w:rPr>
            </w:pPr>
          </w:p>
        </w:tc>
        <w:tc>
          <w:tcPr>
            <w:tcW w:w="815" w:type="dxa"/>
            <w:vMerge w:val="continue"/>
            <w:vAlign w:val="top"/>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rPr>
              <w:t>2.申请人逾期未按收费通知要求缴纳费用、行政机关不再处理其政府信息公开申请</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96"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29"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07"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62"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31"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r>
      <w:tr>
        <w:trPr>
          <w:trHeight w:val="445" w:hRule="atLeast"/>
          <w:jc w:val="center"/>
        </w:trPr>
        <w:tc>
          <w:tcPr>
            <w:tcW w:w="653" w:type="dxa"/>
            <w:vMerge w:val="continue"/>
            <w:vAlign w:val="top"/>
          </w:tcPr>
          <w:p>
            <w:pPr>
              <w:rPr>
                <w:rFonts w:ascii="宋体" w:hAnsi="宋体" w:eastAsia="宋体" w:cs="宋体"/>
                <w:b/>
                <w:bCs/>
                <w:sz w:val="24"/>
                <w:szCs w:val="24"/>
              </w:rPr>
            </w:pPr>
          </w:p>
        </w:tc>
        <w:tc>
          <w:tcPr>
            <w:tcW w:w="815" w:type="dxa"/>
            <w:vMerge w:val="continue"/>
            <w:vAlign w:val="top"/>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rPr>
              <w:t>3.其他</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96"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29"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07"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62"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31"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r>
      <w:tr>
        <w:trPr>
          <w:trHeight w:val="422" w:hRule="atLeast"/>
          <w:jc w:val="center"/>
        </w:trPr>
        <w:tc>
          <w:tcPr>
            <w:tcW w:w="653" w:type="dxa"/>
            <w:vMerge w:val="continue"/>
            <w:vAlign w:val="top"/>
          </w:tcPr>
          <w:p>
            <w:pPr>
              <w:rPr>
                <w:rFonts w:ascii="宋体" w:hAnsi="宋体" w:eastAsia="宋体" w:cs="宋体"/>
                <w:b/>
                <w:bCs/>
                <w:sz w:val="24"/>
                <w:szCs w:val="24"/>
              </w:rPr>
            </w:pPr>
          </w:p>
        </w:tc>
        <w:tc>
          <w:tcPr>
            <w:tcW w:w="3466" w:type="dxa"/>
            <w:gridSpan w:val="2"/>
            <w:vAlign w:val="center"/>
          </w:tcPr>
          <w:p>
            <w:pPr>
              <w:rPr>
                <w:rFonts w:ascii="宋体" w:hAnsi="宋体" w:eastAsia="宋体" w:cs="宋体"/>
                <w:b/>
                <w:bCs/>
                <w:sz w:val="24"/>
                <w:szCs w:val="24"/>
              </w:rPr>
            </w:pPr>
            <w:r>
              <w:rPr>
                <w:rFonts w:hint="eastAsia" w:ascii="宋体" w:hAnsi="宋体" w:eastAsia="宋体" w:cs="宋体"/>
                <w:kern w:val="0"/>
                <w:sz w:val="20"/>
                <w:szCs w:val="20"/>
              </w:rPr>
              <w:t>（七）总计</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96"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29"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07"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62"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31"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r>
      <w:tr>
        <w:trPr>
          <w:trHeight w:val="443" w:hRule="atLeast"/>
          <w:jc w:val="center"/>
        </w:trPr>
        <w:tc>
          <w:tcPr>
            <w:tcW w:w="4119" w:type="dxa"/>
            <w:gridSpan w:val="3"/>
            <w:vAlign w:val="center"/>
          </w:tcPr>
          <w:p>
            <w:pPr>
              <w:rPr>
                <w:rFonts w:ascii="宋体" w:hAnsi="宋体" w:eastAsia="宋体" w:cs="宋体"/>
                <w:b/>
                <w:bCs/>
                <w:sz w:val="24"/>
                <w:szCs w:val="24"/>
              </w:rPr>
            </w:pPr>
            <w:r>
              <w:rPr>
                <w:rFonts w:hint="eastAsia" w:ascii="宋体" w:hAnsi="宋体" w:eastAsia="宋体" w:cs="宋体"/>
                <w:kern w:val="0"/>
                <w:sz w:val="20"/>
                <w:szCs w:val="20"/>
              </w:rPr>
              <w:t>四、结转下年度继续办理</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96"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29"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07"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762"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85"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c>
          <w:tcPr>
            <w:tcW w:w="631" w:type="dxa"/>
            <w:vAlign w:val="center"/>
          </w:tcPr>
          <w:p>
            <w:pPr>
              <w:jc w:val="center"/>
              <w:rPr>
                <w:rFonts w:ascii="宋体" w:hAnsi="宋体" w:eastAsia="宋体" w:cs="宋体"/>
                <w:b/>
                <w:bCs/>
                <w:sz w:val="24"/>
                <w:szCs w:val="24"/>
              </w:rPr>
            </w:pPr>
            <w:r>
              <w:rPr>
                <w:rFonts w:hint="eastAsia" w:ascii="宋体" w:hAnsi="宋体" w:cs="宋体"/>
                <w:kern w:val="0"/>
                <w:sz w:val="20"/>
                <w:szCs w:val="20"/>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rPr>
          <w:jc w:val="center"/>
        </w:trPr>
        <w:tc>
          <w:tcPr>
            <w:tcW w:w="300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68"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trPr>
          <w:jc w:val="center"/>
        </w:trPr>
        <w:tc>
          <w:tcPr>
            <w:tcW w:w="59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0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21"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trPr>
          <w:jc w:val="center"/>
        </w:trPr>
        <w:tc>
          <w:tcPr>
            <w:tcW w:w="59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9"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9"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6"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0"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rPr>
          <w:trHeight w:val="697" w:hRule="atLeast"/>
          <w:jc w:val="center"/>
        </w:trPr>
        <w:tc>
          <w:tcPr>
            <w:tcW w:w="5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cs="宋体"/>
                <w:kern w:val="0"/>
                <w:sz w:val="20"/>
                <w:szCs w:val="20"/>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cs="宋体"/>
                <w:kern w:val="0"/>
                <w:sz w:val="20"/>
                <w:szCs w:val="20"/>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cs="宋体"/>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cs="宋体"/>
                <w:kern w:val="0"/>
                <w:sz w:val="20"/>
                <w:szCs w:val="20"/>
                <w:lang w:val="en-US" w:eastAsia="zh-CN"/>
              </w:rPr>
              <w:t>0</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cs="宋体"/>
                <w:kern w:val="0"/>
                <w:sz w:val="20"/>
                <w:szCs w:val="20"/>
                <w:lang w:val="en-US" w:eastAsia="zh-CN"/>
              </w:rPr>
              <w:t>0</w:t>
            </w:r>
          </w:p>
        </w:tc>
        <w:tc>
          <w:tcPr>
            <w:tcW w:w="6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cs="宋体"/>
                <w:kern w:val="0"/>
                <w:sz w:val="20"/>
                <w:szCs w:val="20"/>
                <w:lang w:val="en-US" w:eastAsia="zh-CN"/>
              </w:rPr>
              <w:t>0</w:t>
            </w:r>
          </w:p>
        </w:tc>
        <w:tc>
          <w:tcPr>
            <w:tcW w:w="6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cs="宋体"/>
                <w:kern w:val="0"/>
                <w:sz w:val="20"/>
                <w:szCs w:val="20"/>
                <w:lang w:val="en-US" w:eastAsia="zh-CN"/>
              </w:rPr>
              <w:t>0</w:t>
            </w:r>
          </w:p>
        </w:tc>
      </w:tr>
    </w:tbl>
    <w:p>
      <w:pPr>
        <w:ind w:firstLine="480" w:firstLineChars="200"/>
        <w:rPr>
          <w:rFonts w:ascii="宋体" w:hAnsi="宋体" w:eastAsia="宋体" w:cs="宋体"/>
          <w:sz w:val="24"/>
          <w:szCs w:val="24"/>
        </w:rPr>
      </w:pPr>
      <w:r>
        <w:rPr>
          <w:rFonts w:hint="eastAsia" w:ascii="宋体" w:hAnsi="宋体" w:eastAsia="宋体" w:cs="宋体"/>
          <w:sz w:val="24"/>
          <w:szCs w:val="24"/>
        </w:rPr>
        <w:t>五</w:t>
      </w:r>
      <w:bookmarkStart w:id="0" w:name="_GoBack"/>
      <w:r>
        <w:rPr>
          <w:rFonts w:hint="eastAsia" w:ascii="宋体" w:hAnsi="宋体" w:eastAsia="宋体" w:cs="宋体"/>
          <w:sz w:val="24"/>
          <w:szCs w:val="24"/>
        </w:rPr>
        <w:t>、</w:t>
      </w:r>
      <w:r>
        <w:rPr>
          <w:rFonts w:hint="eastAsia" w:ascii="宋体" w:hAnsi="宋体" w:eastAsia="宋体" w:cs="宋体"/>
          <w:b/>
          <w:bCs/>
          <w:sz w:val="24"/>
          <w:szCs w:val="24"/>
        </w:rPr>
        <w:t>存在的主要问题及改进情况</w:t>
      </w:r>
      <w:bookmarkEnd w:id="0"/>
    </w:p>
    <w:p>
      <w:pPr>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（一）加强学习培训工作</w:t>
      </w:r>
    </w:p>
    <w:p>
      <w:pPr>
        <w:ind w:firstLine="482" w:firstLineChars="200"/>
        <w:rPr>
          <w:rFonts w:hint="eastAsia" w:ascii="宋体" w:hAnsi="宋体" w:eastAsia="宋体" w:cs="宋体"/>
          <w:sz w:val="24"/>
          <w:szCs w:val="24"/>
        </w:rPr>
      </w:pPr>
      <w:r>
        <w:rPr>
          <w:rFonts w:hint="eastAsia" w:ascii="宋体" w:hAnsi="宋体" w:eastAsia="宋体" w:cs="宋体"/>
          <w:sz w:val="24"/>
          <w:szCs w:val="24"/>
        </w:rPr>
        <w:t>针对队伍现状和工作中存在的实际问题，继续组织人员参加培训，提高工作人员水平。正确把握和处理公开与例外、公开与保密之间关系的能力，确保应当公开的政府信息及时公开。同时，要加强计算机相关技能培训，不断提高干部职工依法开展政府信息公开工作水平。</w:t>
      </w:r>
    </w:p>
    <w:p>
      <w:pPr>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（二）推进公开形式多样化</w:t>
      </w:r>
    </w:p>
    <w:p>
      <w:pPr>
        <w:ind w:firstLine="482" w:firstLineChars="200"/>
        <w:rPr>
          <w:rFonts w:hint="eastAsia" w:ascii="宋体" w:hAnsi="宋体" w:eastAsia="宋体" w:cs="宋体"/>
          <w:sz w:val="24"/>
          <w:szCs w:val="24"/>
        </w:rPr>
      </w:pPr>
      <w:r>
        <w:rPr>
          <w:rFonts w:hint="eastAsia" w:ascii="宋体" w:hAnsi="宋体" w:eastAsia="宋体" w:cs="宋体"/>
          <w:sz w:val="24"/>
          <w:szCs w:val="24"/>
        </w:rPr>
        <w:t>加快和完善政府信息公开的方式方法，采取多种多样的形式，积极为公众获取政府信息提供便捷服务。</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本部门无需要报告的其他事项。</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autoSpaceDN w:val="0"/>
        <w:rPr>
          <w:rFonts w:hint="default" w:ascii="宋体" w:hAnsi="宋体"/>
          <w:sz w:val="24"/>
        </w:rPr>
      </w:pPr>
    </w:p>
    <w:p>
      <w:pPr>
        <w:autoSpaceDN w:val="0"/>
        <w:ind w:firstLine="480"/>
        <w:jc w:val="both"/>
        <w:rPr>
          <w:rFonts w:hint="default" w:ascii="Calibri" w:hAnsi="宋体"/>
          <w:sz w:val="21"/>
        </w:rPr>
      </w:pPr>
      <w:r>
        <w:rPr>
          <w:rFonts w:hint="default" w:ascii="宋体" w:hAnsi="宋体" w:eastAsia="宋体"/>
          <w:sz w:val="24"/>
          <w:lang w:eastAsia="zh-CN"/>
        </w:rPr>
        <w:t xml:space="preserve"> </w:t>
      </w:r>
    </w:p>
    <w:p>
      <w:pPr>
        <w:ind w:firstLine="480" w:firstLineChars="200"/>
        <w:rPr>
          <w:rFonts w:hint="eastAsia" w:ascii="宋体" w:hAnsi="宋体" w:eastAsia="宋体" w:cs="宋体"/>
          <w:sz w:val="24"/>
          <w:szCs w:val="24"/>
        </w:rPr>
      </w:pPr>
    </w:p>
    <w:sectPr>
      <w:footerReference r:id="rId4" w:type="default"/>
      <w:pgSz w:w="11906" w:h="16838"/>
      <w:pgMar w:top="1440" w:right="1418" w:bottom="1134" w:left="1418"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PAGE   \* MERGEFORMAT</w:instrText>
    </w:r>
    <w:r>
      <w:fldChar w:fldCharType="separate"/>
    </w:r>
    <w:r>
      <w:t>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83272611">
    <w:nsid w:val="704075A3"/>
    <w:multiLevelType w:val="singleLevel"/>
    <w:tmpl w:val="704075A3"/>
    <w:lvl w:ilvl="0" w:tentative="1">
      <w:start w:val="3"/>
      <w:numFmt w:val="chineseCounting"/>
      <w:suff w:val="nothing"/>
      <w:lvlText w:val="%1、"/>
      <w:lvlJc w:val="left"/>
      <w:rPr>
        <w:rFonts w:hint="eastAsia"/>
      </w:rPr>
    </w:lvl>
  </w:abstractNum>
  <w:num w:numId="1">
    <w:abstractNumId w:val="18832726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0"/>
  </w:style>
  <w:style w:type="paragraph" w:styleId="2">
    <w:name w:val="footer"/>
    <w:basedOn w:val="1"/>
    <w:unhideWhenUsed/>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2008-12-26T08:45:00Z</dcterms:created>
  <dc:creator>Administrator</dc:creator>
  <cp:lastModifiedBy>Administrator</cp:lastModifiedBy>
  <cp:lastPrinted>2021-12-30T01:50:00Z</cp:lastPrinted>
  <dcterms:modified xsi:type="dcterms:W3CDTF">2022-01-06T00:54:55Z</dcterms:modified>
  <dc:title>根据《中华人民共和国政府信息公开条例》规定，现公布铁东区人力资源和社会保障局2021年政府信息公开工作年度报告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