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EE" w:rsidRDefault="0025045D" w:rsidP="001F1C0F">
      <w:pPr>
        <w:widowControl/>
        <w:spacing w:line="300" w:lineRule="auto"/>
        <w:ind w:right="442"/>
        <w:jc w:val="righ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BA09D2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D104F3" w:rsidRDefault="00D104F3" w:rsidP="00D104F3">
      <w:pPr>
        <w:pStyle w:val="20"/>
        <w:ind w:firstLine="0"/>
        <w:rPr>
          <w:rFonts w:ascii="黑体" w:eastAsia="黑体" w:hAnsi="黑体" w:cs="黑体"/>
          <w:spacing w:val="0"/>
          <w:position w:val="0"/>
        </w:rPr>
      </w:pPr>
      <w:r>
        <w:rPr>
          <w:rFonts w:ascii="黑体" w:eastAsia="黑体" w:hAnsi="黑体" w:cs="黑体" w:hint="eastAsia"/>
          <w:spacing w:val="0"/>
          <w:position w:val="0"/>
        </w:rPr>
        <w:t>附件1</w:t>
      </w:r>
    </w:p>
    <w:p w:rsidR="00D104F3" w:rsidRDefault="00D104F3" w:rsidP="00D104F3">
      <w:pPr>
        <w:spacing w:line="700" w:lineRule="exact"/>
        <w:jc w:val="center"/>
        <w:rPr>
          <w:rFonts w:ascii="CESI小标宋-GB13000" w:eastAsia="CESI小标宋-GB13000" w:hAnsi="CESI小标宋-GB13000" w:cs="CESI小标宋-GB13000"/>
        </w:rPr>
      </w:pPr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t>重大行政决策具体事项范畴</w:t>
      </w:r>
    </w:p>
    <w:p w:rsidR="00D104F3" w:rsidRPr="00D104F3" w:rsidRDefault="00D104F3" w:rsidP="00D104F3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编制国民经济和社会发展中长期规划、年度计划，财政预算；</w:t>
      </w:r>
    </w:p>
    <w:p w:rsidR="00D104F3" w:rsidRPr="00D104F3" w:rsidRDefault="00D104F3" w:rsidP="00D104F3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提出地方性法规草案、制定政府规章；</w:t>
      </w:r>
    </w:p>
    <w:p w:rsidR="00D104F3" w:rsidRPr="00D104F3" w:rsidRDefault="00D104F3" w:rsidP="00D104F3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拟定或者修改城市房屋拆迁、农村土地征用补偿方式和标准；</w:t>
      </w:r>
    </w:p>
    <w:p w:rsidR="00D104F3" w:rsidRPr="00D104F3" w:rsidRDefault="00D104F3" w:rsidP="00D104F3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调整水、电、气、路桥、教育、卫生、公共交通、污水处理、垃圾处理、电视网络等公共事业收费标准；</w:t>
      </w:r>
    </w:p>
    <w:p w:rsidR="00D104F3" w:rsidRPr="00D104F3" w:rsidRDefault="00D104F3" w:rsidP="00D104F3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制定或者调整各类总体规划、产业发展规划、产业区域布局规划；</w:t>
      </w:r>
    </w:p>
    <w:p w:rsidR="00D104F3" w:rsidRPr="00D104F3" w:rsidRDefault="00D104F3" w:rsidP="00D104F3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土地、矿藏、水流、森林、山岭、荒地、滩涂、海域等自然资源开发利用和生态环境保护；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(7)制定或者调整重要的区域规划和专业规划；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(8)制定或者调整政府定价、政府指导价的重要商品、服务价格；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(9)贯彻上级的重要决议、决定、指示的实施意见；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(10)研究政府重大投资项目和重大国有资产处置，重大财政资金安排；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(11)制定土地管理、劳动就业、社会保障、文化卫生、科技教育、生态环境保护、住房保障、公用事业、城市建设等方面的重大政策措施；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(12)需要报告上级政府或者提请同级人民代表大会及</w:t>
      </w: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lastRenderedPageBreak/>
        <w:t>其常务委员会审议的重大事项；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(13)制定宏观调控和改革开放的重大政策措施；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(14)重大突发公共事件应急预案的制定与调整、需长期采取的重大交通管制措施；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(15)基层民主政治建设的重大措施；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(16)重要的奖惩决定，人事任免；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(17)涉及民生和为民办实事的重大事项；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(18)应当由同级政府提出决策意见的重大突发事件和重要紧急情况；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(19)重要的行政事业性收费；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(20)本行政区域内经济布局，产业结构调整，市场准入条件，关系国民经济命脉、国家安全的行业和特种行业管理；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(21)本行政区域内人才工作和人才队伍建设中的重大事项；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(22)本行政区域内国防后备力量建设和国防动员中的重大事项，国防设施保护中的重大事项；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(23)抢险救灾、人口与计划生育等方面的重大问题；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(24)研究政府职能转变、行政管理体制改革等加强政府自身建设方面的重大问题；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(25)可能对生态环境、自然及人文景观、城市功能造成重大影响的政府投资项目的立项；</w:t>
      </w:r>
    </w:p>
    <w:p w:rsidR="00D104F3" w:rsidRPr="00D104F3" w:rsidRDefault="00D104F3" w:rsidP="00D104F3">
      <w:pPr>
        <w:spacing w:line="560" w:lineRule="exact"/>
        <w:ind w:firstLineChars="200" w:firstLine="640"/>
        <w:jc w:val="left"/>
        <w:rPr>
          <w:rFonts w:ascii="仿宋" w:eastAsia="仿宋" w:hAnsi="仿宋" w:cs="CESI仿宋-GB13000"/>
          <w:sz w:val="32"/>
          <w:szCs w:val="32"/>
          <w:shd w:val="clear" w:color="auto" w:fill="FFFFFF"/>
        </w:rPr>
      </w:pPr>
      <w:r w:rsidRPr="00D104F3">
        <w:rPr>
          <w:rFonts w:ascii="仿宋" w:eastAsia="仿宋" w:hAnsi="仿宋" w:cs="CESI仿宋-GB13000" w:hint="eastAsia"/>
          <w:sz w:val="32"/>
          <w:szCs w:val="32"/>
          <w:shd w:val="clear" w:color="auto" w:fill="FFFFFF"/>
        </w:rPr>
        <w:t>(26)对居民生活环境质量可能造成重大影响的建设项目的环境影响评价，等等。</w:t>
      </w:r>
    </w:p>
    <w:p w:rsidR="00D104F3" w:rsidRPr="00D104F3" w:rsidRDefault="00D104F3" w:rsidP="00D104F3">
      <w:pPr>
        <w:widowControl/>
        <w:spacing w:line="30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D104F3" w:rsidRPr="00D10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5FD" w:rsidRDefault="00BE05FD" w:rsidP="0025045D">
      <w:r>
        <w:separator/>
      </w:r>
    </w:p>
  </w:endnote>
  <w:endnote w:type="continuationSeparator" w:id="0">
    <w:p w:rsidR="00BE05FD" w:rsidRDefault="00BE05FD" w:rsidP="0025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5FD" w:rsidRDefault="00BE05FD" w:rsidP="0025045D">
      <w:r>
        <w:separator/>
      </w:r>
    </w:p>
  </w:footnote>
  <w:footnote w:type="continuationSeparator" w:id="0">
    <w:p w:rsidR="00BE05FD" w:rsidRDefault="00BE05FD" w:rsidP="0025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485535"/>
    <w:multiLevelType w:val="singleLevel"/>
    <w:tmpl w:val="AD485535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B1"/>
    <w:rsid w:val="001F1C0F"/>
    <w:rsid w:val="0025045D"/>
    <w:rsid w:val="00371451"/>
    <w:rsid w:val="005C15B1"/>
    <w:rsid w:val="009E7EEE"/>
    <w:rsid w:val="00A15209"/>
    <w:rsid w:val="00BA09D2"/>
    <w:rsid w:val="00BE05FD"/>
    <w:rsid w:val="00D104F3"/>
    <w:rsid w:val="00E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04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4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04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50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045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152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15209"/>
  </w:style>
  <w:style w:type="paragraph" w:styleId="a8">
    <w:name w:val="Body Text Indent"/>
    <w:basedOn w:val="a"/>
    <w:link w:val="Char2"/>
    <w:uiPriority w:val="99"/>
    <w:semiHidden/>
    <w:unhideWhenUsed/>
    <w:rsid w:val="00D104F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D104F3"/>
  </w:style>
  <w:style w:type="paragraph" w:styleId="20">
    <w:name w:val="Body Text First Indent 2"/>
    <w:basedOn w:val="a8"/>
    <w:next w:val="a"/>
    <w:link w:val="2Char0"/>
    <w:rsid w:val="00D104F3"/>
    <w:pPr>
      <w:tabs>
        <w:tab w:val="left" w:pos="7513"/>
      </w:tabs>
      <w:spacing w:after="0" w:line="520" w:lineRule="exact"/>
      <w:ind w:leftChars="0" w:left="0" w:firstLine="960"/>
    </w:pPr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  <w:style w:type="character" w:customStyle="1" w:styleId="2Char0">
    <w:name w:val="正文首行缩进 2 Char"/>
    <w:basedOn w:val="Char2"/>
    <w:link w:val="20"/>
    <w:rsid w:val="00D104F3"/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04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4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4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04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2504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5045D"/>
    <w:rPr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A1520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15209"/>
  </w:style>
  <w:style w:type="paragraph" w:styleId="a8">
    <w:name w:val="Body Text Indent"/>
    <w:basedOn w:val="a"/>
    <w:link w:val="Char2"/>
    <w:uiPriority w:val="99"/>
    <w:semiHidden/>
    <w:unhideWhenUsed/>
    <w:rsid w:val="00D104F3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8"/>
    <w:uiPriority w:val="99"/>
    <w:semiHidden/>
    <w:rsid w:val="00D104F3"/>
  </w:style>
  <w:style w:type="paragraph" w:styleId="20">
    <w:name w:val="Body Text First Indent 2"/>
    <w:basedOn w:val="a8"/>
    <w:next w:val="a"/>
    <w:link w:val="2Char0"/>
    <w:rsid w:val="00D104F3"/>
    <w:pPr>
      <w:tabs>
        <w:tab w:val="left" w:pos="7513"/>
      </w:tabs>
      <w:spacing w:after="0" w:line="520" w:lineRule="exact"/>
      <w:ind w:leftChars="0" w:left="0" w:firstLine="960"/>
    </w:pPr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  <w:style w:type="character" w:customStyle="1" w:styleId="2Char0">
    <w:name w:val="正文首行缩进 2 Char"/>
    <w:basedOn w:val="Char2"/>
    <w:link w:val="20"/>
    <w:rsid w:val="00D104F3"/>
    <w:rPr>
      <w:rFonts w:ascii="仿宋_GB2312" w:eastAsia="仿宋_GB2312" w:hAnsi="Times New Roman" w:cs="Times New Roman"/>
      <w:bCs/>
      <w:spacing w:val="8"/>
      <w:kern w:val="0"/>
      <w:position w:val="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>中国微软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2024-01-19T07:52:00Z</dcterms:created>
  <dcterms:modified xsi:type="dcterms:W3CDTF">2024-01-19T07:52:00Z</dcterms:modified>
</cp:coreProperties>
</file>