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129" w:rsidRDefault="004F3129">
      <w:pPr>
        <w:jc w:val="left"/>
        <w:sectPr w:rsidR="004F3129">
          <w:footerReference w:type="default" r:id="rId8"/>
          <w:pgSz w:w="16840" w:h="11900"/>
          <w:pgMar w:top="1011" w:right="1834" w:bottom="400" w:left="1795" w:header="0" w:footer="0" w:gutter="0"/>
          <w:cols w:space="720"/>
        </w:sectPr>
      </w:pPr>
      <w:bookmarkStart w:id="0" w:name="_GoBack"/>
      <w:bookmarkEnd w:id="0"/>
    </w:p>
    <w:p w:rsidR="004F3129" w:rsidRDefault="000B580A">
      <w:pPr>
        <w:rPr>
          <w:rFonts w:eastAsia="宋体"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lastRenderedPageBreak/>
        <w:t>附件</w:t>
      </w:r>
      <w:r>
        <w:rPr>
          <w:rFonts w:eastAsia="宋体" w:hint="eastAsia"/>
          <w:b/>
          <w:bCs/>
          <w:sz w:val="28"/>
          <w:szCs w:val="28"/>
        </w:rPr>
        <w:t>2</w:t>
      </w:r>
      <w:r>
        <w:rPr>
          <w:rFonts w:eastAsia="宋体" w:hint="eastAsia"/>
          <w:sz w:val="28"/>
          <w:szCs w:val="28"/>
        </w:rPr>
        <w:t>：</w:t>
      </w:r>
    </w:p>
    <w:p w:rsidR="004F3129" w:rsidRDefault="000B580A">
      <w:pPr>
        <w:spacing w:before="133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铁东区</w:t>
      </w: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承接吉林省政府赋予</w:t>
      </w: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街道办事处</w:t>
      </w:r>
    </w:p>
    <w:p w:rsidR="004F3129" w:rsidRDefault="000B580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"/>
          <w:sz w:val="44"/>
          <w:szCs w:val="44"/>
        </w:rPr>
        <w:t>县级</w:t>
      </w:r>
      <w:r>
        <w:rPr>
          <w:rFonts w:ascii="方正小标宋_GBK" w:eastAsia="方正小标宋_GBK" w:hAnsi="方正小标宋_GBK" w:cs="方正小标宋_GBK" w:hint="eastAsia"/>
          <w:spacing w:val="-2"/>
          <w:sz w:val="44"/>
          <w:szCs w:val="44"/>
        </w:rPr>
        <w:t>行政权力事项</w:t>
      </w:r>
      <w:r>
        <w:rPr>
          <w:rFonts w:ascii="方正小标宋_GBK" w:eastAsia="方正小标宋_GBK" w:hAnsi="方正小标宋_GBK" w:cs="方正小标宋_GBK" w:hint="eastAsia"/>
          <w:spacing w:val="-2"/>
          <w:sz w:val="44"/>
          <w:szCs w:val="44"/>
        </w:rPr>
        <w:t>清单</w:t>
      </w:r>
    </w:p>
    <w:tbl>
      <w:tblPr>
        <w:tblStyle w:val="TableNormal"/>
        <w:tblW w:w="131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15"/>
        <w:gridCol w:w="9516"/>
        <w:gridCol w:w="824"/>
      </w:tblGrid>
      <w:tr w:rsidR="004F3129">
        <w:trPr>
          <w:trHeight w:val="414"/>
        </w:trPr>
        <w:tc>
          <w:tcPr>
            <w:tcW w:w="634" w:type="dxa"/>
          </w:tcPr>
          <w:p w:rsidR="004F3129" w:rsidRDefault="000B580A">
            <w:pPr>
              <w:spacing w:before="101" w:line="221" w:lineRule="auto"/>
              <w:ind w:left="9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215" w:type="dxa"/>
          </w:tcPr>
          <w:p w:rsidR="004F3129" w:rsidRDefault="000B580A">
            <w:pPr>
              <w:spacing w:before="101" w:line="220" w:lineRule="auto"/>
              <w:ind w:left="72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Cs w:val="21"/>
              </w:rPr>
              <w:t>事项名称</w:t>
            </w:r>
          </w:p>
        </w:tc>
        <w:tc>
          <w:tcPr>
            <w:tcW w:w="9516" w:type="dxa"/>
          </w:tcPr>
          <w:p w:rsidR="004F3129" w:rsidRDefault="000B580A">
            <w:pPr>
              <w:spacing w:before="99" w:line="219" w:lineRule="auto"/>
              <w:ind w:left="399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设</w:t>
            </w:r>
            <w:r>
              <w:rPr>
                <w:rFonts w:ascii="宋体" w:eastAsia="宋体" w:hAnsi="宋体" w:cs="宋体"/>
                <w:spacing w:val="4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立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依</w:t>
            </w:r>
            <w:r>
              <w:rPr>
                <w:rFonts w:ascii="宋体" w:eastAsia="宋体" w:hAnsi="宋体" w:cs="宋体"/>
                <w:spacing w:val="3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Cs w:val="21"/>
              </w:rPr>
              <w:t>据</w:t>
            </w:r>
          </w:p>
        </w:tc>
        <w:tc>
          <w:tcPr>
            <w:tcW w:w="824" w:type="dxa"/>
          </w:tcPr>
          <w:p w:rsidR="004F3129" w:rsidRDefault="000B580A">
            <w:pPr>
              <w:spacing w:before="101" w:line="221" w:lineRule="auto"/>
              <w:ind w:left="20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Cs w:val="21"/>
              </w:rPr>
              <w:t>备注</w:t>
            </w:r>
          </w:p>
        </w:tc>
      </w:tr>
      <w:tr w:rsidR="004F3129">
        <w:trPr>
          <w:trHeight w:val="90"/>
        </w:trPr>
        <w:tc>
          <w:tcPr>
            <w:tcW w:w="634" w:type="dxa"/>
          </w:tcPr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4F3129">
            <w:pPr>
              <w:spacing w:before="68" w:line="184" w:lineRule="auto"/>
              <w:ind w:left="204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F3129" w:rsidRDefault="000B580A">
            <w:pPr>
              <w:spacing w:before="68" w:line="184" w:lineRule="auto"/>
              <w:ind w:left="204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5" w:type="dxa"/>
          </w:tcPr>
          <w:p w:rsidR="004F3129" w:rsidRDefault="004F3129">
            <w:pPr>
              <w:spacing w:line="261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0B580A">
            <w:pPr>
              <w:spacing w:before="68" w:line="211" w:lineRule="auto"/>
              <w:ind w:left="120" w:right="60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对随意倾倒、抛撒、堆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"/>
                <w:szCs w:val="21"/>
              </w:rPr>
              <w:t>放或者</w:t>
            </w:r>
            <w:proofErr w:type="gramEnd"/>
            <w:r>
              <w:rPr>
                <w:rFonts w:ascii="宋体" w:eastAsia="宋体" w:hAnsi="宋体" w:cs="宋体"/>
                <w:spacing w:val="1"/>
                <w:szCs w:val="21"/>
              </w:rPr>
              <w:t>焚烧生活垃圾的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行政处罚</w:t>
            </w:r>
          </w:p>
        </w:tc>
        <w:tc>
          <w:tcPr>
            <w:tcW w:w="9516" w:type="dxa"/>
          </w:tcPr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《中华人民共和国固体废物污染环境防治法》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(2020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29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日修订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</w:p>
          <w:p w:rsidR="004F3129" w:rsidRDefault="000B580A">
            <w:pPr>
              <w:spacing w:line="201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F3129" w:rsidRDefault="000B580A">
            <w:pPr>
              <w:spacing w:line="203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F3129" w:rsidRDefault="000B580A">
            <w:pPr>
              <w:spacing w:line="22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29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2020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9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第一百一十一条</w:t>
            </w:r>
            <w:r>
              <w:rPr>
                <w:rFonts w:ascii="宋体" w:eastAsia="宋体" w:hAnsi="宋体" w:cs="宋体"/>
                <w:spacing w:val="6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违反本法规定，有下列行为之一，由县级以上地方人民政府环境卫生主管部门责令改正，处以罚款，没收违法所得：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随意倾倒、抛撒、堆放或者焚烧生活垃圾的；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擅自关闭、闲置或者拆除生活垃圾处理设施、场所的；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工程施工单位未编制建筑垃圾处理方案报备案，或者未及时清运施工过程中产生的固体废物的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四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工程施工单位擅自倾倒、抛撒或者堆放工程施工过程中产生的建筑垃圾，或者未按照规定对施工过程中产生的固体废物进行利用或者处置的；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五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产生、收集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厨余垃圾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的单位和其他生产经营者未将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厨余垃圾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交由具备相应资质条件的单位进行无害化处理的；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六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畜禽养殖场、养殖小区利用未经无害化处理的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厨余垃圾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饲喂畜禽的；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lastRenderedPageBreak/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七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在运输过程中沿途丢弃、遗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撒生活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垃圾的。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单位有前款第一项、第七项行为之一，处五万元以上五十万元以下的罚款；单位有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前款第二项</w:t>
            </w:r>
            <w:r>
              <w:rPr>
                <w:rFonts w:ascii="宋体" w:eastAsia="宋体" w:hAnsi="宋体" w:cs="宋体" w:hint="eastAsia"/>
                <w:spacing w:val="6"/>
                <w:szCs w:val="21"/>
              </w:rPr>
              <w:t>、</w:t>
            </w:r>
            <w:r>
              <w:rPr>
                <w:rFonts w:ascii="宋体" w:eastAsia="宋体" w:hAnsi="宋体" w:cs="宋体"/>
                <w:spacing w:val="6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第三项、第四项、第五项、第六项行为之一，处十万元以上一百万元以下的罚款；个人有前款第一项、第五项、第七项行为之一，处一百元以上五百元以下的罚款。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违反本法规定，未在指定的地点分类投放生活垃圾的，由县级以上地方人民政府环境卫生主管部门责令改正；情节严重的，对单位处五万元以上五十万元以下的罚款，对个人依法处以罚款。</w:t>
            </w:r>
          </w:p>
        </w:tc>
        <w:tc>
          <w:tcPr>
            <w:tcW w:w="824" w:type="dxa"/>
          </w:tcPr>
          <w:p w:rsidR="004F3129" w:rsidRDefault="004F3129">
            <w:pPr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4F3129">
        <w:trPr>
          <w:trHeight w:val="2702"/>
        </w:trPr>
        <w:tc>
          <w:tcPr>
            <w:tcW w:w="634" w:type="dxa"/>
          </w:tcPr>
          <w:p w:rsidR="004F3129" w:rsidRDefault="004F3129">
            <w:pPr>
              <w:spacing w:line="246" w:lineRule="auto"/>
              <w:rPr>
                <w:rFonts w:ascii="Arial"/>
              </w:rPr>
            </w:pPr>
          </w:p>
          <w:p w:rsidR="004F3129" w:rsidRDefault="004F3129">
            <w:pPr>
              <w:spacing w:line="246" w:lineRule="auto"/>
              <w:rPr>
                <w:rFonts w:ascii="Arial"/>
              </w:rPr>
            </w:pPr>
          </w:p>
          <w:p w:rsidR="004F3129" w:rsidRDefault="004F3129">
            <w:pPr>
              <w:spacing w:line="246" w:lineRule="auto"/>
              <w:rPr>
                <w:rFonts w:ascii="Arial"/>
              </w:rPr>
            </w:pPr>
          </w:p>
          <w:p w:rsidR="004F3129" w:rsidRDefault="004F3129">
            <w:pPr>
              <w:spacing w:line="247" w:lineRule="auto"/>
              <w:rPr>
                <w:rFonts w:ascii="Arial"/>
              </w:rPr>
            </w:pPr>
          </w:p>
          <w:p w:rsidR="004F3129" w:rsidRDefault="004F3129">
            <w:pPr>
              <w:spacing w:line="247" w:lineRule="auto"/>
              <w:rPr>
                <w:rFonts w:ascii="Arial"/>
              </w:rPr>
            </w:pPr>
          </w:p>
          <w:p w:rsidR="004F3129" w:rsidRDefault="000B580A">
            <w:pPr>
              <w:spacing w:before="69" w:line="184" w:lineRule="auto"/>
              <w:ind w:left="20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215" w:type="dxa"/>
          </w:tcPr>
          <w:p w:rsidR="004F3129" w:rsidRDefault="004F3129">
            <w:pPr>
              <w:spacing w:line="267" w:lineRule="auto"/>
              <w:rPr>
                <w:rFonts w:ascii="Arial"/>
              </w:rPr>
            </w:pPr>
          </w:p>
          <w:p w:rsidR="004F3129" w:rsidRDefault="004F3129">
            <w:pPr>
              <w:spacing w:line="267" w:lineRule="auto"/>
              <w:rPr>
                <w:rFonts w:ascii="Arial"/>
              </w:rPr>
            </w:pPr>
          </w:p>
          <w:p w:rsidR="004F3129" w:rsidRDefault="004F3129">
            <w:pPr>
              <w:spacing w:line="267" w:lineRule="auto"/>
              <w:rPr>
                <w:rFonts w:ascii="Arial"/>
              </w:rPr>
            </w:pPr>
          </w:p>
          <w:p w:rsidR="004F3129" w:rsidRDefault="004F3129">
            <w:pPr>
              <w:spacing w:line="268" w:lineRule="auto"/>
              <w:rPr>
                <w:rFonts w:ascii="Arial"/>
              </w:rPr>
            </w:pPr>
          </w:p>
          <w:p w:rsidR="004F3129" w:rsidRDefault="000B580A">
            <w:pPr>
              <w:spacing w:before="69" w:line="225" w:lineRule="auto"/>
              <w:ind w:left="120" w:right="8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对未经批准进行临时建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设的行政处罚</w:t>
            </w:r>
          </w:p>
        </w:tc>
        <w:tc>
          <w:tcPr>
            <w:tcW w:w="9516" w:type="dxa"/>
          </w:tcPr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《中华人民共和国城乡规划法》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(2015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24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日第一次修正，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23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日第二次修正</w:t>
            </w:r>
            <w:r>
              <w:rPr>
                <w:rFonts w:ascii="宋体" w:eastAsia="宋体" w:hAnsi="宋体" w:cs="宋体"/>
                <w:spacing w:val="6"/>
                <w:szCs w:val="21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法律效力位阶：法律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制定机关：全国人民代表大会常务委员会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时效性：有效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2007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10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2008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日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第六十六条</w:t>
            </w:r>
            <w:r>
              <w:rPr>
                <w:rFonts w:ascii="宋体" w:eastAsia="宋体" w:hAnsi="宋体" w:cs="宋体"/>
                <w:spacing w:val="6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建设单位或者个人有下列行为之一的，由所在地城市、县人民政府城乡规划主管部门责令限期拆除，可以并处临时建设工程造价一倍以下的罚款：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未经批准进行临时建设的；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pacing w:val="6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未按照批准内容进行临时建设的；</w:t>
            </w:r>
          </w:p>
          <w:p w:rsidR="004F3129" w:rsidRDefault="000B580A">
            <w:pPr>
              <w:spacing w:before="69" w:line="202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临时建筑物、构筑物超过批准期限不拆除的。</w:t>
            </w:r>
          </w:p>
        </w:tc>
        <w:tc>
          <w:tcPr>
            <w:tcW w:w="824" w:type="dxa"/>
          </w:tcPr>
          <w:p w:rsidR="004F3129" w:rsidRDefault="004F3129">
            <w:pPr>
              <w:rPr>
                <w:rFonts w:ascii="Arial"/>
              </w:rPr>
            </w:pPr>
          </w:p>
        </w:tc>
      </w:tr>
      <w:tr w:rsidR="004F3129">
        <w:trPr>
          <w:trHeight w:val="3435"/>
        </w:trPr>
        <w:tc>
          <w:tcPr>
            <w:tcW w:w="634" w:type="dxa"/>
          </w:tcPr>
          <w:p w:rsidR="004F3129" w:rsidRDefault="004F3129">
            <w:pPr>
              <w:spacing w:line="264" w:lineRule="auto"/>
              <w:rPr>
                <w:rFonts w:ascii="Arial"/>
              </w:rPr>
            </w:pPr>
          </w:p>
          <w:p w:rsidR="004F3129" w:rsidRDefault="004F3129">
            <w:pPr>
              <w:spacing w:line="264" w:lineRule="auto"/>
              <w:rPr>
                <w:rFonts w:ascii="Arial"/>
              </w:rPr>
            </w:pPr>
          </w:p>
          <w:p w:rsidR="004F3129" w:rsidRDefault="004F3129">
            <w:pPr>
              <w:spacing w:line="264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0B580A">
            <w:pPr>
              <w:spacing w:before="68" w:line="184" w:lineRule="auto"/>
              <w:ind w:left="20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215" w:type="dxa"/>
          </w:tcPr>
          <w:p w:rsidR="004F3129" w:rsidRDefault="004F3129">
            <w:pPr>
              <w:spacing w:line="242" w:lineRule="auto"/>
              <w:rPr>
                <w:rFonts w:ascii="Arial"/>
              </w:rPr>
            </w:pPr>
          </w:p>
          <w:p w:rsidR="004F3129" w:rsidRDefault="004F3129">
            <w:pPr>
              <w:spacing w:line="242" w:lineRule="auto"/>
              <w:rPr>
                <w:rFonts w:ascii="Arial"/>
              </w:rPr>
            </w:pPr>
          </w:p>
          <w:p w:rsidR="004F3129" w:rsidRDefault="004F3129">
            <w:pPr>
              <w:spacing w:line="243" w:lineRule="auto"/>
              <w:rPr>
                <w:rFonts w:ascii="Arial"/>
              </w:rPr>
            </w:pPr>
          </w:p>
          <w:p w:rsidR="004F3129" w:rsidRDefault="004F3129">
            <w:pPr>
              <w:spacing w:line="243" w:lineRule="auto"/>
              <w:rPr>
                <w:rFonts w:ascii="Arial"/>
              </w:rPr>
            </w:pPr>
          </w:p>
          <w:p w:rsidR="004F3129" w:rsidRDefault="004F3129">
            <w:pPr>
              <w:spacing w:line="243" w:lineRule="auto"/>
              <w:rPr>
                <w:rFonts w:ascii="Arial"/>
              </w:rPr>
            </w:pPr>
          </w:p>
          <w:p w:rsidR="004F3129" w:rsidRDefault="004F3129">
            <w:pPr>
              <w:spacing w:line="243" w:lineRule="auto"/>
              <w:rPr>
                <w:rFonts w:ascii="Arial"/>
              </w:rPr>
            </w:pPr>
          </w:p>
          <w:p w:rsidR="004F3129" w:rsidRDefault="004F3129">
            <w:pPr>
              <w:spacing w:line="243" w:lineRule="auto"/>
              <w:rPr>
                <w:rFonts w:ascii="Arial"/>
              </w:rPr>
            </w:pPr>
          </w:p>
          <w:p w:rsidR="004F3129" w:rsidRDefault="000B580A">
            <w:pPr>
              <w:spacing w:before="69" w:line="202" w:lineRule="auto"/>
              <w:ind w:left="9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对未按照批准内容进行</w:t>
            </w:r>
          </w:p>
          <w:p w:rsidR="004F3129" w:rsidRDefault="000B580A">
            <w:pPr>
              <w:spacing w:line="219" w:lineRule="auto"/>
              <w:ind w:left="20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临时建设的行政处罚</w:t>
            </w:r>
          </w:p>
        </w:tc>
        <w:tc>
          <w:tcPr>
            <w:tcW w:w="9516" w:type="dxa"/>
          </w:tcPr>
          <w:p w:rsidR="004F3129" w:rsidRDefault="000B580A">
            <w:pPr>
              <w:spacing w:before="68" w:line="206" w:lineRule="auto"/>
              <w:ind w:right="17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szCs w:val="21"/>
              </w:rPr>
              <w:t>《中华人民共和国城乡规划法》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(2015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24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日第一次修正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，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23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日第二次修正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1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F3129" w:rsidRDefault="000B580A">
            <w:pPr>
              <w:spacing w:line="23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F3129" w:rsidRDefault="000B580A">
            <w:pPr>
              <w:spacing w:line="20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F3129" w:rsidRDefault="000B580A">
            <w:pPr>
              <w:spacing w:before="1" w:line="237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2007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10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F3129" w:rsidRDefault="000B580A">
            <w:pPr>
              <w:spacing w:line="201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2008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F3129" w:rsidRDefault="000B580A">
            <w:pPr>
              <w:spacing w:before="2" w:line="215" w:lineRule="auto"/>
              <w:ind w:right="5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第六十六条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建设单位或者个人有下列行为之一的，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由所在地城市、县人民政府城乡规划主管部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门责令限期拆除，可以并处临时建设工程造价一倍以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下的罚款：</w:t>
            </w:r>
          </w:p>
          <w:p w:rsidR="004F3129" w:rsidRDefault="000B580A">
            <w:pPr>
              <w:spacing w:line="21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未经批准进行临时建设的；</w:t>
            </w:r>
          </w:p>
          <w:p w:rsidR="004F3129" w:rsidRDefault="000B580A">
            <w:pPr>
              <w:spacing w:before="11" w:line="21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未按照批准内容进行临时建设的</w:t>
            </w:r>
          </w:p>
          <w:p w:rsidR="004F3129" w:rsidRDefault="000B580A">
            <w:pPr>
              <w:spacing w:before="1" w:line="21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临时建筑物、构筑物超过批准期限不拆除的。</w:t>
            </w:r>
          </w:p>
        </w:tc>
        <w:tc>
          <w:tcPr>
            <w:tcW w:w="824" w:type="dxa"/>
          </w:tcPr>
          <w:p w:rsidR="004F3129" w:rsidRDefault="004F3129">
            <w:pPr>
              <w:rPr>
                <w:rFonts w:ascii="Arial"/>
              </w:rPr>
            </w:pPr>
          </w:p>
        </w:tc>
      </w:tr>
      <w:tr w:rsidR="004F3129">
        <w:trPr>
          <w:trHeight w:val="3960"/>
        </w:trPr>
        <w:tc>
          <w:tcPr>
            <w:tcW w:w="634" w:type="dxa"/>
          </w:tcPr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5" w:lineRule="auto"/>
              <w:rPr>
                <w:rFonts w:ascii="Arial"/>
              </w:rPr>
            </w:pPr>
          </w:p>
          <w:p w:rsidR="004F3129" w:rsidRDefault="004F3129">
            <w:pPr>
              <w:spacing w:line="266" w:lineRule="auto"/>
              <w:rPr>
                <w:rFonts w:ascii="Arial"/>
              </w:rPr>
            </w:pPr>
          </w:p>
          <w:p w:rsidR="004F3129" w:rsidRDefault="004F3129">
            <w:pPr>
              <w:spacing w:line="266" w:lineRule="auto"/>
              <w:rPr>
                <w:rFonts w:ascii="Arial"/>
              </w:rPr>
            </w:pPr>
          </w:p>
          <w:p w:rsidR="004F3129" w:rsidRDefault="000B580A">
            <w:pPr>
              <w:spacing w:before="68" w:line="184" w:lineRule="auto"/>
              <w:ind w:left="20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215" w:type="dxa"/>
          </w:tcPr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2" w:lineRule="auto"/>
              <w:rPr>
                <w:rFonts w:ascii="Arial"/>
              </w:rPr>
            </w:pPr>
          </w:p>
          <w:p w:rsidR="004F3129" w:rsidRDefault="004F3129">
            <w:pPr>
              <w:spacing w:line="263" w:lineRule="auto"/>
              <w:rPr>
                <w:rFonts w:ascii="Arial"/>
              </w:rPr>
            </w:pPr>
          </w:p>
          <w:p w:rsidR="004F3129" w:rsidRDefault="004F3129">
            <w:pPr>
              <w:spacing w:line="263" w:lineRule="auto"/>
              <w:rPr>
                <w:rFonts w:ascii="Arial"/>
              </w:rPr>
            </w:pPr>
          </w:p>
          <w:p w:rsidR="004F3129" w:rsidRDefault="004F3129">
            <w:pPr>
              <w:spacing w:line="263" w:lineRule="auto"/>
              <w:rPr>
                <w:rFonts w:ascii="Arial"/>
              </w:rPr>
            </w:pPr>
          </w:p>
          <w:p w:rsidR="004F3129" w:rsidRDefault="000B580A">
            <w:pPr>
              <w:spacing w:before="68" w:line="223" w:lineRule="auto"/>
              <w:ind w:left="91" w:right="9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对临时建筑物、构筑物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超过批准期限不拆除的</w:t>
            </w:r>
            <w:r>
              <w:rPr>
                <w:rFonts w:ascii="宋体" w:eastAsia="宋体" w:hAnsi="宋体" w:cs="宋体"/>
                <w:spacing w:val="13"/>
                <w:szCs w:val="21"/>
              </w:rPr>
              <w:t>行政处罚</w:t>
            </w:r>
          </w:p>
        </w:tc>
        <w:tc>
          <w:tcPr>
            <w:tcW w:w="9516" w:type="dxa"/>
          </w:tcPr>
          <w:p w:rsidR="004F3129" w:rsidRDefault="004F3129">
            <w:pPr>
              <w:spacing w:line="301" w:lineRule="auto"/>
              <w:rPr>
                <w:rFonts w:ascii="Arial"/>
              </w:rPr>
            </w:pPr>
          </w:p>
          <w:p w:rsidR="004F3129" w:rsidRDefault="000B580A">
            <w:pPr>
              <w:spacing w:before="68" w:line="206" w:lineRule="auto"/>
              <w:ind w:right="17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szCs w:val="21"/>
              </w:rPr>
              <w:t>《中华人民共和国城乡规划法》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(2015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24</w:t>
            </w:r>
            <w:r>
              <w:rPr>
                <w:rFonts w:ascii="宋体" w:eastAsia="宋体" w:hAnsi="宋体" w:cs="宋体"/>
                <w:spacing w:val="11"/>
                <w:szCs w:val="21"/>
              </w:rPr>
              <w:t>日第一次修正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，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2019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23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日第二次修正</w:t>
            </w:r>
            <w:r>
              <w:rPr>
                <w:rFonts w:ascii="宋体" w:eastAsia="宋体" w:hAnsi="宋体" w:cs="宋体"/>
                <w:spacing w:val="1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1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法律效力位阶：法律</w:t>
            </w:r>
          </w:p>
          <w:p w:rsidR="004F3129" w:rsidRDefault="000B580A">
            <w:pPr>
              <w:spacing w:line="22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制定机关：全国人民代表大会常务委员会</w:t>
            </w:r>
          </w:p>
          <w:p w:rsidR="004F3129" w:rsidRDefault="000B580A">
            <w:pPr>
              <w:spacing w:line="21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时效性：有效</w:t>
            </w:r>
          </w:p>
          <w:p w:rsidR="004F3129" w:rsidRDefault="000B580A">
            <w:pPr>
              <w:spacing w:before="1" w:line="237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4"/>
                <w:szCs w:val="21"/>
              </w:rPr>
              <w:t>公布日期：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2007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10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28</w:t>
            </w:r>
            <w:r>
              <w:rPr>
                <w:rFonts w:ascii="宋体" w:eastAsia="宋体" w:hAnsi="宋体" w:cs="宋体"/>
                <w:spacing w:val="14"/>
                <w:szCs w:val="21"/>
              </w:rPr>
              <w:t>日</w:t>
            </w:r>
          </w:p>
          <w:p w:rsidR="004F3129" w:rsidRDefault="000B580A">
            <w:pPr>
              <w:spacing w:line="201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17"/>
                <w:szCs w:val="21"/>
              </w:rPr>
              <w:t>施行日期：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2008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17"/>
                <w:szCs w:val="21"/>
              </w:rPr>
              <w:t>日</w:t>
            </w:r>
          </w:p>
          <w:p w:rsidR="004F3129" w:rsidRDefault="000B580A">
            <w:pPr>
              <w:spacing w:before="1" w:line="218" w:lineRule="auto"/>
              <w:ind w:right="5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第六十六条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建设单位或者个人有下列行为之一的，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由所在地城市、县人民政府城乡规划主管部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门责令限期拆除，可以并处临时建设工程造价一倍以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下的罚款：</w:t>
            </w:r>
          </w:p>
          <w:p w:rsidR="004F3129" w:rsidRDefault="000B580A">
            <w:pPr>
              <w:spacing w:before="24" w:line="202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6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6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szCs w:val="21"/>
              </w:rPr>
              <w:t>未经批准进行临时建设的；</w:t>
            </w:r>
          </w:p>
          <w:p w:rsidR="004F3129" w:rsidRDefault="000B580A">
            <w:pPr>
              <w:spacing w:before="1" w:line="21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未按照批准内容进行临时建设的；</w:t>
            </w:r>
          </w:p>
          <w:p w:rsidR="004F3129" w:rsidRDefault="000B580A">
            <w:pPr>
              <w:spacing w:line="21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临时建筑物、构筑物超过批准期限不拆除的。</w:t>
            </w:r>
          </w:p>
        </w:tc>
        <w:tc>
          <w:tcPr>
            <w:tcW w:w="824" w:type="dxa"/>
          </w:tcPr>
          <w:p w:rsidR="004F3129" w:rsidRDefault="004F3129">
            <w:pPr>
              <w:rPr>
                <w:rFonts w:ascii="Arial"/>
              </w:rPr>
            </w:pPr>
          </w:p>
        </w:tc>
      </w:tr>
    </w:tbl>
    <w:p w:rsidR="004F3129" w:rsidRDefault="004F3129">
      <w:pPr>
        <w:rPr>
          <w:rFonts w:ascii="CESI仿宋-GB2312" w:eastAsia="CESI仿宋-GB2312" w:hAnsi="CESI仿宋-GB2312" w:cs="CESI仿宋-GB2312"/>
          <w:sz w:val="32"/>
          <w:szCs w:val="32"/>
        </w:rPr>
      </w:pPr>
    </w:p>
    <w:sectPr w:rsidR="004F3129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0A" w:rsidRDefault="000B580A">
      <w:r>
        <w:separator/>
      </w:r>
    </w:p>
  </w:endnote>
  <w:endnote w:type="continuationSeparator" w:id="0">
    <w:p w:rsidR="000B580A" w:rsidRDefault="000B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29" w:rsidRDefault="000B580A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129" w:rsidRDefault="000B580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55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4F3129" w:rsidRDefault="000B580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55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29" w:rsidRDefault="000B580A">
    <w:pPr>
      <w:spacing w:line="183" w:lineRule="auto"/>
      <w:ind w:left="144"/>
      <w:rPr>
        <w:rFonts w:ascii="宋体" w:eastAsia="宋体" w:hAnsi="宋体" w:cs="宋体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129" w:rsidRDefault="000B580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55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4F3129" w:rsidRDefault="000B580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55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0A" w:rsidRDefault="000B580A">
      <w:r>
        <w:separator/>
      </w:r>
    </w:p>
  </w:footnote>
  <w:footnote w:type="continuationSeparator" w:id="0">
    <w:p w:rsidR="000B580A" w:rsidRDefault="000B5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20AD"/>
    <w:rsid w:val="BEDE1305"/>
    <w:rsid w:val="DD4FCB8C"/>
    <w:rsid w:val="DDDDF8FB"/>
    <w:rsid w:val="E2D9DAF4"/>
    <w:rsid w:val="FB4FDEA3"/>
    <w:rsid w:val="FBDBF7CE"/>
    <w:rsid w:val="FBEF2B82"/>
    <w:rsid w:val="FFFB03E5"/>
    <w:rsid w:val="000B580A"/>
    <w:rsid w:val="004F3129"/>
    <w:rsid w:val="00DB5551"/>
    <w:rsid w:val="02D434EA"/>
    <w:rsid w:val="053349D5"/>
    <w:rsid w:val="08D134C0"/>
    <w:rsid w:val="12947381"/>
    <w:rsid w:val="2C385A9A"/>
    <w:rsid w:val="2DF5F6B0"/>
    <w:rsid w:val="2E593C0A"/>
    <w:rsid w:val="32D61A91"/>
    <w:rsid w:val="39EC20AD"/>
    <w:rsid w:val="3EB2359C"/>
    <w:rsid w:val="5A575B58"/>
    <w:rsid w:val="6DAC4E0F"/>
    <w:rsid w:val="701A33C6"/>
    <w:rsid w:val="71AC5671"/>
    <w:rsid w:val="7D5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Company>中国微软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微软中国</cp:lastModifiedBy>
  <cp:revision>3</cp:revision>
  <cp:lastPrinted>2024-01-08T14:31:00Z</cp:lastPrinted>
  <dcterms:created xsi:type="dcterms:W3CDTF">2023-06-28T23:01:00Z</dcterms:created>
  <dcterms:modified xsi:type="dcterms:W3CDTF">2024-01-19T07:25:00Z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62E4F6C23A6D57DA9C9A97654FF08DC1</vt:lpwstr>
  </property>
</Properties>
</file>